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D" w:rsidRPr="001D3FBE" w:rsidRDefault="003558D1" w:rsidP="009C533D">
      <w:pPr>
        <w:spacing w:line="360" w:lineRule="auto"/>
        <w:ind w:left="-180" w:right="49"/>
        <w:jc w:val="both"/>
        <w:rPr>
          <w:rFonts w:ascii="Arial" w:hAnsi="Arial" w:cs="Arial"/>
          <w:b/>
          <w:noProof/>
          <w:color w:val="76923C" w:themeColor="accent3" w:themeShade="BF"/>
          <w:sz w:val="28"/>
          <w:szCs w:val="24"/>
        </w:rPr>
      </w:pPr>
      <w:r>
        <w:rPr>
          <w:rFonts w:ascii="Arial" w:hAnsi="Arial" w:cs="Arial"/>
          <w:b/>
          <w:noProof/>
          <w:color w:val="76923C" w:themeColor="accent3" w:themeShade="BF"/>
          <w:sz w:val="28"/>
          <w:szCs w:val="24"/>
        </w:rPr>
        <w:t>¿Qué es el Factor de Expansió</w:t>
      </w:r>
      <w:bookmarkStart w:id="0" w:name="_GoBack"/>
      <w:bookmarkEnd w:id="0"/>
      <w:r w:rsidR="009C533D" w:rsidRPr="001D3FBE">
        <w:rPr>
          <w:rFonts w:ascii="Arial" w:hAnsi="Arial" w:cs="Arial"/>
          <w:b/>
          <w:noProof/>
          <w:color w:val="76923C" w:themeColor="accent3" w:themeShade="BF"/>
          <w:sz w:val="28"/>
          <w:szCs w:val="24"/>
        </w:rPr>
        <w:t>n y para que se utiliza?</w:t>
      </w:r>
    </w:p>
    <w:p w:rsidR="009C533D" w:rsidRPr="00BC649C" w:rsidRDefault="009C533D" w:rsidP="009C533D">
      <w:pPr>
        <w:autoSpaceDE w:val="0"/>
        <w:autoSpaceDN w:val="0"/>
        <w:adjustRightInd w:val="0"/>
        <w:spacing w:before="120" w:line="360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BC649C">
        <w:rPr>
          <w:rFonts w:ascii="Arial" w:hAnsi="Arial" w:cs="Arial"/>
          <w:sz w:val="22"/>
          <w:szCs w:val="22"/>
        </w:rPr>
        <w:t>Es importante tener en cuenta que todos los indicadores y las demás cifras que se publican con fuente de Encuesta de Calidad de Vida</w:t>
      </w:r>
      <w:r>
        <w:rPr>
          <w:rFonts w:ascii="Arial" w:hAnsi="Arial" w:cs="Arial"/>
          <w:sz w:val="22"/>
          <w:szCs w:val="22"/>
        </w:rPr>
        <w:t xml:space="preserve"> </w:t>
      </w:r>
      <w:r w:rsidRPr="00BC649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BC649C">
        <w:rPr>
          <w:rFonts w:ascii="Arial" w:hAnsi="Arial" w:cs="Arial"/>
          <w:sz w:val="22"/>
          <w:szCs w:val="22"/>
        </w:rPr>
        <w:t xml:space="preserve">ECV son producidos desde una muestra que se obtiene mediante un diseño de muestreo probabilístico y que es representativo para las 25 zonas y las 9 subregiones del departamento de Antioquia. </w:t>
      </w:r>
    </w:p>
    <w:p w:rsidR="009C533D" w:rsidRPr="00BC649C" w:rsidRDefault="009C533D" w:rsidP="009C533D">
      <w:pPr>
        <w:autoSpaceDE w:val="0"/>
        <w:autoSpaceDN w:val="0"/>
        <w:adjustRightInd w:val="0"/>
        <w:spacing w:before="120" w:line="360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BC649C">
        <w:rPr>
          <w:rFonts w:ascii="Arial" w:hAnsi="Arial" w:cs="Arial"/>
          <w:sz w:val="22"/>
          <w:szCs w:val="22"/>
        </w:rPr>
        <w:t xml:space="preserve">Sin embargo para hacer inferencia a nivel de toda la población antioqueña se realiza un proceso metodológico </w:t>
      </w:r>
      <w:r>
        <w:rPr>
          <w:rFonts w:ascii="Arial" w:hAnsi="Arial" w:cs="Arial"/>
          <w:sz w:val="22"/>
          <w:szCs w:val="22"/>
        </w:rPr>
        <w:t xml:space="preserve">que permite </w:t>
      </w:r>
      <w:r w:rsidRPr="00BC649C">
        <w:rPr>
          <w:rFonts w:ascii="Arial" w:hAnsi="Arial" w:cs="Arial"/>
          <w:sz w:val="22"/>
          <w:szCs w:val="22"/>
        </w:rPr>
        <w:t>expandir cada cifra que se obtenga de la base de datos con fuente ECV</w:t>
      </w:r>
      <w:r>
        <w:rPr>
          <w:rFonts w:ascii="Arial" w:hAnsi="Arial" w:cs="Arial"/>
          <w:sz w:val="22"/>
          <w:szCs w:val="22"/>
        </w:rPr>
        <w:t xml:space="preserve"> al tamaño del universo</w:t>
      </w:r>
      <w:r w:rsidRPr="00BC649C">
        <w:rPr>
          <w:rFonts w:ascii="Arial" w:hAnsi="Arial" w:cs="Arial"/>
          <w:sz w:val="22"/>
          <w:szCs w:val="22"/>
        </w:rPr>
        <w:t>.</w:t>
      </w:r>
    </w:p>
    <w:p w:rsidR="009C533D" w:rsidRPr="00BC649C" w:rsidRDefault="009C533D" w:rsidP="009C533D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BC649C">
        <w:rPr>
          <w:rFonts w:ascii="Arial" w:hAnsi="Arial" w:cs="Arial"/>
          <w:sz w:val="22"/>
          <w:szCs w:val="22"/>
        </w:rPr>
        <w:t>El factor de expansión le concede a la muestra el peso proporcional a</w:t>
      </w:r>
      <w:r>
        <w:rPr>
          <w:rFonts w:ascii="Arial" w:hAnsi="Arial" w:cs="Arial"/>
          <w:sz w:val="22"/>
          <w:szCs w:val="22"/>
        </w:rPr>
        <w:t xml:space="preserve">l tamaño del universo </w:t>
      </w:r>
      <w:r w:rsidRPr="00BC649C">
        <w:rPr>
          <w:rFonts w:ascii="Arial" w:hAnsi="Arial" w:cs="Arial"/>
          <w:sz w:val="22"/>
          <w:szCs w:val="22"/>
        </w:rPr>
        <w:t xml:space="preserve">objeto de investigación, mediante el cálculo que considera las unidades de muestreo y las probabilidades de selección de la muestra, y estos factores de expansión son el inverso de la probabilidad de selección de la muestra o sea (N/ n), en la ECV para las viviendas es el total de viviendas presentadas en el marco </w:t>
      </w:r>
      <w:proofErr w:type="spellStart"/>
      <w:r w:rsidRPr="00BC649C">
        <w:rPr>
          <w:rFonts w:ascii="Arial" w:hAnsi="Arial" w:cs="Arial"/>
          <w:sz w:val="22"/>
          <w:szCs w:val="22"/>
        </w:rPr>
        <w:t>muestral</w:t>
      </w:r>
      <w:proofErr w:type="spellEnd"/>
      <w:r w:rsidRPr="00BC649C">
        <w:rPr>
          <w:rFonts w:ascii="Arial" w:hAnsi="Arial" w:cs="Arial"/>
          <w:sz w:val="22"/>
          <w:szCs w:val="22"/>
        </w:rPr>
        <w:t xml:space="preserve"> (N) dividido por los valores de la muestra, discriminado en urbano y rural.</w:t>
      </w:r>
      <w:r>
        <w:rPr>
          <w:rFonts w:ascii="Arial" w:hAnsi="Arial" w:cs="Arial"/>
          <w:sz w:val="22"/>
          <w:szCs w:val="22"/>
        </w:rPr>
        <w:t xml:space="preserve"> </w:t>
      </w:r>
      <w:r w:rsidRPr="00BC649C">
        <w:rPr>
          <w:rFonts w:ascii="Arial" w:hAnsi="Arial" w:cs="Arial"/>
          <w:sz w:val="22"/>
          <w:szCs w:val="22"/>
        </w:rPr>
        <w:t xml:space="preserve"> Para el caso de la población o habitantes (hombres y mujeres), se toma las proyecciones de población publicadas por el DANE por sexo, grupos de edad (edades simples y grupos quinquenales) y área total, urbano y rural, y se divide por los habitantes que da la muestra para esos mismos grupos de edad, sexo y área, dando como resultado los factores de expansión de toda la población, lo cual hace que se pueda</w:t>
      </w:r>
      <w:r>
        <w:rPr>
          <w:rFonts w:ascii="Arial" w:hAnsi="Arial" w:cs="Arial"/>
          <w:sz w:val="22"/>
          <w:szCs w:val="22"/>
        </w:rPr>
        <w:t>n</w:t>
      </w:r>
      <w:r w:rsidRPr="00BC649C">
        <w:rPr>
          <w:rFonts w:ascii="Arial" w:hAnsi="Arial" w:cs="Arial"/>
          <w:sz w:val="22"/>
          <w:szCs w:val="22"/>
        </w:rPr>
        <w:t xml:space="preserve"> realizar comparaciones con las cifras </w:t>
      </w:r>
      <w:r>
        <w:rPr>
          <w:rFonts w:ascii="Arial" w:hAnsi="Arial" w:cs="Arial"/>
          <w:sz w:val="22"/>
          <w:szCs w:val="22"/>
        </w:rPr>
        <w:t>del universo (Viviendas y Población)</w:t>
      </w:r>
      <w:r w:rsidRPr="00BC649C">
        <w:rPr>
          <w:rFonts w:ascii="Arial" w:hAnsi="Arial" w:cs="Arial"/>
          <w:sz w:val="22"/>
          <w:szCs w:val="22"/>
        </w:rPr>
        <w:t>.</w:t>
      </w:r>
    </w:p>
    <w:sectPr w:rsidR="009C533D" w:rsidRPr="00BC649C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0F" w:rsidRDefault="00E81F0F" w:rsidP="003B3910">
      <w:pPr>
        <w:spacing w:after="0" w:line="240" w:lineRule="auto"/>
      </w:pPr>
      <w:r>
        <w:separator/>
      </w:r>
    </w:p>
  </w:endnote>
  <w:endnote w:type="continuationSeparator" w:id="0">
    <w:p w:rsidR="00E81F0F" w:rsidRDefault="00E81F0F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D1" w:rsidRPr="003558D1">
          <w:rPr>
            <w:noProof/>
            <w:lang w:val="es-ES"/>
          </w:rPr>
          <w:t>1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0F" w:rsidRDefault="00E81F0F" w:rsidP="003B3910">
      <w:pPr>
        <w:spacing w:after="0" w:line="240" w:lineRule="auto"/>
      </w:pPr>
      <w:r>
        <w:separator/>
      </w:r>
    </w:p>
  </w:footnote>
  <w:footnote w:type="continuationSeparator" w:id="0">
    <w:p w:rsidR="00E81F0F" w:rsidRDefault="00E81F0F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730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3FBE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8D1"/>
    <w:rsid w:val="00355BE7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17EC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1F0F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AAB3AD2C-1726-4A62-B25E-E75D3666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10</cp:revision>
  <cp:lastPrinted>2015-01-21T17:22:00Z</cp:lastPrinted>
  <dcterms:created xsi:type="dcterms:W3CDTF">2015-01-27T22:06:00Z</dcterms:created>
  <dcterms:modified xsi:type="dcterms:W3CDTF">2015-01-28T16:20:00Z</dcterms:modified>
</cp:coreProperties>
</file>