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826BFC" w:rsidRPr="00826BFC" w:rsidRDefault="00826BFC" w:rsidP="00826BFC">
      <w:pPr>
        <w:pStyle w:val="Textoindependiente2"/>
        <w:contextualSpacing/>
        <w:rPr>
          <w:rFonts w:ascii="Arial" w:hAnsi="Arial" w:cs="Arial"/>
          <w:sz w:val="24"/>
          <w:szCs w:val="24"/>
        </w:rPr>
      </w:pPr>
      <w:r w:rsidRPr="00826BFC">
        <w:rPr>
          <w:rFonts w:ascii="Arial" w:hAnsi="Arial" w:cs="Arial"/>
          <w:sz w:val="24"/>
          <w:szCs w:val="24"/>
        </w:rPr>
        <w:t>Tal como lo plantea la Organización Mundial de la Salud OMS, los países necesitan estadísticas sanitarias para saber por qué mueren las personas o cuáles son las causas de enfermedades y traumatismos, información que posteriormente es la base para el diseño de programas y proyectos que permitan mejorar las condiciones de salud de la población.</w:t>
      </w:r>
    </w:p>
    <w:p w:rsidR="00826BFC" w:rsidRPr="00826BFC" w:rsidRDefault="00826BFC" w:rsidP="00826BFC">
      <w:pPr>
        <w:pStyle w:val="Textoindependiente2"/>
        <w:contextualSpacing/>
        <w:rPr>
          <w:rFonts w:ascii="Arial" w:hAnsi="Arial" w:cs="Arial"/>
          <w:sz w:val="24"/>
          <w:szCs w:val="24"/>
        </w:rPr>
      </w:pPr>
    </w:p>
    <w:p w:rsidR="00826BFC" w:rsidRPr="00826BFC" w:rsidRDefault="00826BFC" w:rsidP="00826BFC">
      <w:pPr>
        <w:pStyle w:val="Textoindependiente2"/>
        <w:contextualSpacing/>
        <w:rPr>
          <w:rFonts w:ascii="Arial" w:hAnsi="Arial" w:cs="Arial"/>
          <w:sz w:val="24"/>
          <w:szCs w:val="24"/>
        </w:rPr>
      </w:pPr>
      <w:r w:rsidRPr="00826BFC">
        <w:rPr>
          <w:rFonts w:ascii="Arial" w:hAnsi="Arial" w:cs="Arial"/>
          <w:sz w:val="24"/>
          <w:szCs w:val="24"/>
        </w:rPr>
        <w:t>Al explorar el capítulo, el lector encontrará una compilación de cifras que dan cuenta del estado de salud en el Departamento, al igual que de algunos programas de asistencia social que se están desarrollando.</w:t>
      </w:r>
    </w:p>
    <w:p w:rsidR="00826BFC" w:rsidRPr="00826BFC" w:rsidRDefault="00826BFC" w:rsidP="00826BFC">
      <w:pPr>
        <w:pStyle w:val="Textoindependiente2"/>
        <w:contextualSpacing/>
        <w:rPr>
          <w:rFonts w:ascii="Arial" w:hAnsi="Arial" w:cs="Arial"/>
          <w:sz w:val="24"/>
          <w:szCs w:val="24"/>
        </w:rPr>
      </w:pPr>
    </w:p>
    <w:p w:rsidR="00826BFC" w:rsidRPr="00826BFC" w:rsidRDefault="00826BFC" w:rsidP="00826BFC">
      <w:pPr>
        <w:pStyle w:val="Textoindependiente2"/>
        <w:contextualSpacing/>
        <w:rPr>
          <w:rFonts w:ascii="Arial" w:hAnsi="Arial" w:cs="Arial"/>
          <w:sz w:val="24"/>
          <w:szCs w:val="24"/>
        </w:rPr>
      </w:pPr>
      <w:r w:rsidRPr="00826BFC">
        <w:rPr>
          <w:rFonts w:ascii="Arial" w:hAnsi="Arial" w:cs="Arial"/>
          <w:sz w:val="24"/>
          <w:szCs w:val="24"/>
        </w:rPr>
        <w:t>El capítulo se encuentra dividido en nueve temas:</w:t>
      </w:r>
    </w:p>
    <w:p w:rsidR="00826BFC" w:rsidRPr="00826BFC" w:rsidRDefault="00826BFC" w:rsidP="00826BFC">
      <w:pPr>
        <w:pStyle w:val="Textoindependiente2"/>
        <w:contextualSpacing/>
        <w:rPr>
          <w:rFonts w:ascii="Arial" w:hAnsi="Arial" w:cs="Arial"/>
          <w:sz w:val="24"/>
          <w:szCs w:val="24"/>
        </w:rPr>
      </w:pP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Recursos institucionales: Instituciones Prestadoras de Servicios de Salud y su equipamiento.</w:t>
      </w: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Vacunación: Vacunados y dosis aplicadas.</w:t>
      </w: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Población Sisbenizada del Régimen Subsidiado de Salud: Población que la SSSA toma para la focalización del Régimen Subsidiado y la atención a Vinculados.</w:t>
      </w: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Afiliación a la Seguridad Social en Salud: Población según Régimen de Seguridad Social al que pertenece.</w:t>
      </w: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Morbilidad: Causas de hospitalización y, consultas médicas y urgencias según diferentes agrupaciones.</w:t>
      </w: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Eventos de interés en Salud Pública: Enfermedades transmisibles y Eventos no transmisibles.</w:t>
      </w: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Estadísticas vitales: Mortalidad y nacimientos.</w:t>
      </w:r>
    </w:p>
    <w:p w:rsidR="00826BFC" w:rsidRPr="00826BFC"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Discapacidad: Población con discapacidad en el Departamento.</w:t>
      </w:r>
    </w:p>
    <w:p w:rsidR="000D071C" w:rsidRPr="00CC4857" w:rsidRDefault="00826BFC" w:rsidP="00826BFC">
      <w:pPr>
        <w:pStyle w:val="Textoindependiente2"/>
        <w:numPr>
          <w:ilvl w:val="0"/>
          <w:numId w:val="1"/>
        </w:numPr>
        <w:contextualSpacing/>
        <w:rPr>
          <w:rFonts w:ascii="Arial" w:hAnsi="Arial" w:cs="Arial"/>
          <w:sz w:val="24"/>
          <w:szCs w:val="24"/>
        </w:rPr>
      </w:pPr>
      <w:r w:rsidRPr="00826BFC">
        <w:rPr>
          <w:rFonts w:ascii="Arial" w:hAnsi="Arial" w:cs="Arial"/>
          <w:sz w:val="24"/>
          <w:szCs w:val="24"/>
        </w:rPr>
        <w:t>Asistencia social: Atención en algunos programas del Instituto Colombiano de Bienestar Familiar ICBF y la E.S.E. Carisma.</w:t>
      </w:r>
    </w:p>
    <w:sectPr w:rsidR="000D071C" w:rsidRPr="00CC485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D2C" w:rsidRDefault="00A61D2C" w:rsidP="000D071C">
      <w:pPr>
        <w:spacing w:after="0" w:line="240" w:lineRule="auto"/>
      </w:pPr>
      <w:r>
        <w:separator/>
      </w:r>
    </w:p>
  </w:endnote>
  <w:endnote w:type="continuationSeparator" w:id="1">
    <w:p w:rsidR="00A61D2C" w:rsidRDefault="00A61D2C"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685A41">
    <w:pPr>
      <w:pStyle w:val="normal0"/>
      <w:tabs>
        <w:tab w:val="center" w:pos="4419"/>
        <w:tab w:val="right" w:pos="8838"/>
      </w:tabs>
      <w:spacing w:after="709" w:line="240" w:lineRule="auto"/>
      <w:jc w:val="right"/>
    </w:pPr>
    <w:fldSimple w:instr="PAGE">
      <w:r w:rsidR="00826BFC">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D2C" w:rsidRDefault="00A61D2C" w:rsidP="000D071C">
      <w:pPr>
        <w:spacing w:after="0" w:line="240" w:lineRule="auto"/>
      </w:pPr>
      <w:r>
        <w:separator/>
      </w:r>
    </w:p>
  </w:footnote>
  <w:footnote w:type="continuationSeparator" w:id="1">
    <w:p w:rsidR="00A61D2C" w:rsidRDefault="00A61D2C"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D7175"/>
    <w:multiLevelType w:val="hybridMultilevel"/>
    <w:tmpl w:val="B9125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344A27"/>
    <w:rsid w:val="00390F67"/>
    <w:rsid w:val="004F74AA"/>
    <w:rsid w:val="0055774C"/>
    <w:rsid w:val="00573A8E"/>
    <w:rsid w:val="005C68C3"/>
    <w:rsid w:val="00685A41"/>
    <w:rsid w:val="00826BFC"/>
    <w:rsid w:val="009D49C2"/>
    <w:rsid w:val="00A61D2C"/>
    <w:rsid w:val="00CC4857"/>
    <w:rsid w:val="00CD38B2"/>
    <w:rsid w:val="00D212CE"/>
    <w:rsid w:val="00D36D7A"/>
    <w:rsid w:val="00E532C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95009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1221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2015-02-26T03:38:00Z</dcterms:modified>
</cp:coreProperties>
</file>