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LEY 715 DE 2001</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(Diciembre 21)</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4" w:anchor="1" w:history="1">
        <w:r w:rsidRPr="00A524F8">
          <w:rPr>
            <w:rFonts w:ascii="Arial" w:eastAsia="Times New Roman" w:hAnsi="Arial" w:cs="Arial"/>
            <w:color w:val="0000FF"/>
            <w:kern w:val="0"/>
            <w:szCs w:val="24"/>
            <w:u w:val="single"/>
            <w:lang w:eastAsia="es-ES"/>
          </w:rPr>
          <w:t>Reglamentada parcialmente por el Decreto 159 de 2002</w:t>
        </w:r>
      </w:hyperlink>
      <w:r w:rsidRPr="00A524F8">
        <w:rPr>
          <w:rFonts w:ascii="Arial" w:eastAsia="Times New Roman" w:hAnsi="Arial" w:cs="Arial"/>
          <w:kern w:val="0"/>
          <w:szCs w:val="24"/>
          <w:lang w:eastAsia="es-ES"/>
        </w:rPr>
        <w:t xml:space="preserve">, </w:t>
      </w:r>
      <w:hyperlink r:id="rId5" w:anchor="1" w:history="1">
        <w:r w:rsidRPr="00A524F8">
          <w:rPr>
            <w:rFonts w:ascii="Arial" w:eastAsia="Times New Roman" w:hAnsi="Arial" w:cs="Arial"/>
            <w:color w:val="0000FF"/>
            <w:kern w:val="0"/>
            <w:szCs w:val="24"/>
            <w:u w:val="single"/>
            <w:lang w:eastAsia="es-ES"/>
          </w:rPr>
          <w:t>Reglamentada Parcialmente por el art. 1 del Decreto Nacional 2794 de 2002</w:t>
        </w:r>
      </w:hyperlink>
      <w:r w:rsidRPr="00A524F8">
        <w:rPr>
          <w:rFonts w:ascii="Arial" w:eastAsia="Times New Roman" w:hAnsi="Arial" w:cs="Arial"/>
          <w:kern w:val="0"/>
          <w:szCs w:val="24"/>
          <w:lang w:eastAsia="es-ES"/>
        </w:rPr>
        <w:t xml:space="preserve"> , </w:t>
      </w:r>
      <w:hyperlink r:id="rId6" w:anchor="0" w:history="1">
        <w:r w:rsidRPr="00A524F8">
          <w:rPr>
            <w:rFonts w:ascii="Arial" w:eastAsia="Times New Roman" w:hAnsi="Arial" w:cs="Arial"/>
            <w:color w:val="0000FF"/>
            <w:kern w:val="0"/>
            <w:szCs w:val="24"/>
            <w:u w:val="single"/>
            <w:lang w:eastAsia="es-ES"/>
          </w:rPr>
          <w:t>Reglamentada Parcialmente por el Decreto Nacional 177 de 2004 </w:t>
        </w:r>
      </w:hyperlink>
      <w:r w:rsidRPr="00A524F8">
        <w:rPr>
          <w:rFonts w:ascii="Arial" w:eastAsia="Times New Roman" w:hAnsi="Arial" w:cs="Arial"/>
          <w:kern w:val="0"/>
          <w:szCs w:val="24"/>
          <w:lang w:eastAsia="es-ES"/>
        </w:rPr>
        <w:t xml:space="preserve"> , </w:t>
      </w:r>
      <w:hyperlink r:id="rId7" w:anchor="0" w:history="1">
        <w:r w:rsidRPr="00A524F8">
          <w:rPr>
            <w:rFonts w:ascii="Arial" w:eastAsia="Times New Roman" w:hAnsi="Arial" w:cs="Arial"/>
            <w:color w:val="0000FF"/>
            <w:kern w:val="0"/>
            <w:szCs w:val="24"/>
            <w:u w:val="single"/>
            <w:lang w:eastAsia="es-ES"/>
          </w:rPr>
          <w:t>Reglamentada Parcialmente por el Decreto Nacional 2194 de 2005</w:t>
        </w:r>
      </w:hyperlink>
      <w:r w:rsidRPr="00A524F8">
        <w:rPr>
          <w:rFonts w:ascii="Arial" w:eastAsia="Times New Roman" w:hAnsi="Arial" w:cs="Arial"/>
          <w:kern w:val="0"/>
          <w:szCs w:val="24"/>
          <w:lang w:eastAsia="es-ES"/>
        </w:rPr>
        <w:t xml:space="preserve">, </w:t>
      </w:r>
      <w:hyperlink r:id="rId8" w:anchor="0" w:history="1">
        <w:r w:rsidRPr="00A524F8">
          <w:rPr>
            <w:rFonts w:ascii="Arial" w:eastAsia="Times New Roman" w:hAnsi="Arial" w:cs="Arial"/>
            <w:color w:val="0000FF"/>
            <w:kern w:val="0"/>
            <w:szCs w:val="24"/>
            <w:u w:val="single"/>
            <w:lang w:eastAsia="es-ES"/>
          </w:rPr>
          <w:t>Reglamentada parcialmente por el Decreto Nacional 2194 de 2005</w:t>
        </w:r>
      </w:hyperlink>
      <w:r w:rsidRPr="00A524F8">
        <w:rPr>
          <w:rFonts w:ascii="Arial" w:eastAsia="Times New Roman" w:hAnsi="Arial" w:cs="Arial"/>
          <w:kern w:val="0"/>
          <w:szCs w:val="24"/>
          <w:lang w:eastAsia="es-ES"/>
        </w:rPr>
        <w:t xml:space="preserve">, </w:t>
      </w:r>
      <w:hyperlink r:id="rId9" w:anchor="0" w:history="1">
        <w:r w:rsidRPr="00A524F8">
          <w:rPr>
            <w:rFonts w:ascii="Arial" w:eastAsia="Times New Roman" w:hAnsi="Arial" w:cs="Arial"/>
            <w:color w:val="0000FF"/>
            <w:kern w:val="0"/>
            <w:szCs w:val="24"/>
            <w:u w:val="single"/>
            <w:lang w:eastAsia="es-ES"/>
          </w:rPr>
          <w:t>Reglamentada parcialmente por el Decreto Nacional 313 de 2008</w:t>
        </w:r>
      </w:hyperlink>
      <w:r w:rsidRPr="00A524F8">
        <w:rPr>
          <w:rFonts w:ascii="Arial" w:eastAsia="Times New Roman" w:hAnsi="Arial" w:cs="Arial"/>
          <w:kern w:val="0"/>
          <w:szCs w:val="24"/>
          <w:lang w:eastAsia="es-ES"/>
        </w:rPr>
        <w:t> , </w:t>
      </w:r>
      <w:hyperlink r:id="rId10" w:anchor="36" w:history="1">
        <w:r w:rsidRPr="00A524F8">
          <w:rPr>
            <w:rFonts w:ascii="Arial" w:eastAsia="Times New Roman" w:hAnsi="Arial" w:cs="Arial"/>
            <w:color w:val="0000FF"/>
            <w:kern w:val="0"/>
            <w:szCs w:val="24"/>
            <w:u w:val="single"/>
            <w:lang w:eastAsia="es-ES"/>
          </w:rPr>
          <w:t>Modificada por el art. 36, Decreto Nacional 126 de 2010</w:t>
        </w:r>
      </w:hyperlink>
      <w:r w:rsidRPr="00A524F8">
        <w:rPr>
          <w:rFonts w:ascii="Arial" w:eastAsia="Times New Roman" w:hAnsi="Arial" w:cs="Arial"/>
          <w:kern w:val="0"/>
          <w:szCs w:val="24"/>
          <w:lang w:eastAsia="es-ES"/>
        </w:rPr>
        <w:t xml:space="preserve">, </w:t>
      </w:r>
      <w:r w:rsidRPr="00A524F8">
        <w:rPr>
          <w:rFonts w:ascii="Arial" w:eastAsia="Times New Roman" w:hAnsi="Arial" w:cs="Arial"/>
          <w:b/>
          <w:bCs/>
          <w:kern w:val="0"/>
          <w:szCs w:val="24"/>
          <w:lang w:eastAsia="es-ES"/>
        </w:rPr>
        <w:t>en lo relativo a las multas</w:t>
      </w:r>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kern w:val="0"/>
          <w:szCs w:val="24"/>
          <w:lang w:eastAsia="es-ES"/>
        </w:rPr>
        <w:t> </w:t>
      </w:r>
      <w:r w:rsidRPr="00A524F8">
        <w:rPr>
          <w:rFonts w:ascii="Arial" w:eastAsia="Times New Roman" w:hAnsi="Arial" w:cs="Arial"/>
          <w:b/>
          <w:bCs/>
          <w:kern w:val="0"/>
          <w:szCs w:val="24"/>
          <w:lang w:eastAsia="es-ES"/>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El Congreso de Colombia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1" w:anchor="1" w:history="1">
        <w:r w:rsidRPr="00A524F8">
          <w:rPr>
            <w:rFonts w:ascii="Arial" w:eastAsia="Times New Roman" w:hAnsi="Arial" w:cs="Arial"/>
            <w:color w:val="0000FF"/>
            <w:kern w:val="0"/>
            <w:szCs w:val="24"/>
            <w:u w:val="single"/>
            <w:lang w:eastAsia="es-ES"/>
          </w:rPr>
          <w:t>Ver la exposición de motivos, Ley 715 de 2001</w:t>
        </w:r>
      </w:hyperlink>
      <w:r w:rsidRPr="00A524F8">
        <w:rPr>
          <w:rFonts w:ascii="Arial" w:eastAsia="Times New Roman" w:hAnsi="Arial" w:cs="Arial"/>
          <w:b/>
          <w:bCs/>
          <w:kern w:val="0"/>
          <w:szCs w:val="24"/>
          <w:lang w:eastAsia="es-ES"/>
        </w:rPr>
        <w:t xml:space="preserve">, </w:t>
      </w:r>
      <w:hyperlink r:id="rId12" w:anchor="0" w:history="1">
        <w:r w:rsidRPr="00A524F8">
          <w:rPr>
            <w:rFonts w:ascii="Arial" w:eastAsia="Times New Roman" w:hAnsi="Arial" w:cs="Arial"/>
            <w:color w:val="0000FF"/>
            <w:kern w:val="0"/>
            <w:szCs w:val="24"/>
            <w:u w:val="single"/>
            <w:lang w:eastAsia="es-ES"/>
          </w:rPr>
          <w:t>Ver el Acto Legislativo 04 de 2007</w:t>
        </w:r>
      </w:hyperlink>
      <w:r w:rsidRPr="00A524F8">
        <w:rPr>
          <w:rFonts w:ascii="Arial" w:eastAsia="Times New Roman" w:hAnsi="Arial" w:cs="Arial"/>
          <w:b/>
          <w:bCs/>
          <w:kern w:val="0"/>
          <w:szCs w:val="24"/>
          <w:lang w:eastAsia="es-ES"/>
        </w:rPr>
        <w:t xml:space="preserve"> </w:t>
      </w:r>
    </w:p>
    <w:p w:rsidR="00A524F8" w:rsidRPr="00A524F8" w:rsidRDefault="00A524F8" w:rsidP="00A524F8">
      <w:pPr>
        <w:spacing w:before="100" w:beforeAutospacing="1" w:after="100" w:afterAutospacing="1"/>
        <w:jc w:val="center"/>
        <w:rPr>
          <w:rFonts w:ascii="Arial" w:eastAsia="Times New Roman" w:hAnsi="Arial" w:cs="Arial"/>
          <w:kern w:val="0"/>
          <w:szCs w:val="24"/>
          <w:lang w:eastAsia="es-ES"/>
        </w:rPr>
      </w:pPr>
      <w:r w:rsidRPr="00A524F8">
        <w:rPr>
          <w:rFonts w:ascii="Arial" w:eastAsia="Times New Roman" w:hAnsi="Arial" w:cs="Arial"/>
          <w:b/>
          <w:bCs/>
          <w:kern w:val="0"/>
          <w:szCs w:val="24"/>
          <w:lang w:eastAsia="es-ES"/>
        </w:rPr>
        <w:t>DECRETA:</w:t>
      </w:r>
    </w:p>
    <w:p w:rsidR="00A524F8" w:rsidRPr="00A524F8" w:rsidRDefault="00A524F8" w:rsidP="00A524F8">
      <w:pPr>
        <w:spacing w:before="100" w:beforeAutospacing="1" w:after="100" w:afterAutospacing="1"/>
        <w:jc w:val="center"/>
        <w:rPr>
          <w:rFonts w:ascii="Arial" w:eastAsia="Times New Roman" w:hAnsi="Arial" w:cs="Arial"/>
          <w:kern w:val="0"/>
          <w:szCs w:val="24"/>
          <w:lang w:eastAsia="es-ES"/>
        </w:rPr>
      </w:pPr>
      <w:r w:rsidRPr="00A524F8">
        <w:rPr>
          <w:rFonts w:ascii="Arial" w:eastAsia="Times New Roman" w:hAnsi="Arial" w:cs="Arial"/>
          <w:b/>
          <w:bCs/>
          <w:kern w:val="0"/>
          <w:szCs w:val="24"/>
          <w:lang w:eastAsia="es-ES"/>
        </w:rPr>
        <w:t>T I T U L O I</w:t>
      </w:r>
    </w:p>
    <w:p w:rsidR="00A524F8" w:rsidRPr="00A524F8" w:rsidRDefault="00A524F8" w:rsidP="00A524F8">
      <w:pPr>
        <w:spacing w:before="100" w:beforeAutospacing="1" w:after="100" w:afterAutospacing="1"/>
        <w:jc w:val="center"/>
        <w:rPr>
          <w:rFonts w:ascii="Arial" w:eastAsia="Times New Roman" w:hAnsi="Arial" w:cs="Arial"/>
          <w:kern w:val="0"/>
          <w:szCs w:val="24"/>
          <w:lang w:eastAsia="es-ES"/>
        </w:rPr>
      </w:pPr>
      <w:r w:rsidRPr="00A524F8">
        <w:rPr>
          <w:rFonts w:ascii="Arial" w:eastAsia="Times New Roman" w:hAnsi="Arial" w:cs="Arial"/>
          <w:b/>
          <w:bCs/>
          <w:kern w:val="0"/>
          <w:szCs w:val="24"/>
          <w:lang w:eastAsia="es-ES"/>
        </w:rPr>
        <w:t>PRINCIPIOS GENERALES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w:t>
      </w:r>
      <w:r w:rsidRPr="00A524F8">
        <w:rPr>
          <w:rFonts w:ascii="Arial" w:eastAsia="Times New Roman" w:hAnsi="Arial" w:cs="Arial"/>
          <w:kern w:val="0"/>
          <w:szCs w:val="24"/>
          <w:lang w:eastAsia="es-ES"/>
        </w:rPr>
        <w:t xml:space="preserve"> Naturaleza del Sistema General de Participaciones.  </w:t>
      </w:r>
      <w:hyperlink r:id="rId13" w:anchor="0" w:history="1">
        <w:r w:rsidRPr="00A524F8">
          <w:rPr>
            <w:rFonts w:ascii="Arial" w:eastAsia="Times New Roman" w:hAnsi="Arial" w:cs="Arial"/>
            <w:color w:val="0000FF"/>
            <w:kern w:val="0"/>
            <w:szCs w:val="24"/>
            <w:u w:val="single"/>
            <w:lang w:eastAsia="es-ES"/>
          </w:rPr>
          <w:t>Reglamentado por el Decreto Nacional 1101 de 2007</w:t>
        </w:r>
      </w:hyperlink>
      <w:r w:rsidRPr="00A524F8">
        <w:rPr>
          <w:rFonts w:ascii="Arial" w:eastAsia="Times New Roman" w:hAnsi="Arial" w:cs="Arial"/>
          <w:kern w:val="0"/>
          <w:szCs w:val="24"/>
          <w:lang w:eastAsia="es-ES"/>
        </w:rPr>
        <w:t xml:space="preserve">. El Sistema General de Participaciones está constituido por los recursos que la Nación transfiere por mandato de los artículos 356 y 357 de la Constitución Política a las entidades territoriales, para la financiación de los servicios cuya competencia se les asigna en la presente ley. </w:t>
      </w:r>
      <w:hyperlink r:id="rId14" w:anchor="1" w:history="1">
        <w:r w:rsidRPr="00A524F8">
          <w:rPr>
            <w:rFonts w:ascii="Arial" w:eastAsia="Times New Roman" w:hAnsi="Arial" w:cs="Arial"/>
            <w:color w:val="0000FF"/>
            <w:kern w:val="0"/>
            <w:szCs w:val="24"/>
            <w:u w:val="single"/>
            <w:lang w:eastAsia="es-ES"/>
          </w:rPr>
          <w:t>Ver art. 2, Acto Legislativo 01 de 2001</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2°.</w:t>
      </w:r>
      <w:r w:rsidRPr="00A524F8">
        <w:rPr>
          <w:rFonts w:ascii="Arial" w:eastAsia="Times New Roman" w:hAnsi="Arial" w:cs="Arial"/>
          <w:kern w:val="0"/>
          <w:szCs w:val="24"/>
          <w:lang w:eastAsia="es-ES"/>
        </w:rPr>
        <w:t xml:space="preserve"> Base de cálculo. Los valores que sirven de base para establecer el Sistema General de Participaciones en 2002 corresponderán a los señalados en el parágrafo 1° del artículo 357 de la Constitución Política, sin que en ningún caso el monto sea inferior a diez punto novecientos sesenta y dos (10.962) billones de pesos de 2001, y su crecimiento será el señalado en el mismo artículo.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xml:space="preserve">. No formarán parte del Sistema General de Participaciones los recursos del Fondo Nacional de Regalías, y los definidos por el artículo 19 de la Ley 6ª de 1992 como exclusivos de la Nación en virtud de las autorizaciones otorgadas al Congreso por una única vez en el artículo 43 transitorio de la Constitución Política. </w:t>
      </w:r>
      <w:hyperlink r:id="rId15" w:anchor="1" w:history="1">
        <w:r w:rsidRPr="00A524F8">
          <w:rPr>
            <w:rFonts w:ascii="Arial" w:eastAsia="Times New Roman" w:hAnsi="Arial" w:cs="Arial"/>
            <w:color w:val="0000FF"/>
            <w:kern w:val="0"/>
            <w:szCs w:val="24"/>
            <w:u w:val="single"/>
            <w:lang w:eastAsia="es-ES"/>
          </w:rPr>
          <w:t>Ver art. 19, Ley 6 de 1992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Parágrafo 2°</w:t>
      </w:r>
      <w:r w:rsidRPr="00A524F8">
        <w:rPr>
          <w:rFonts w:ascii="Arial" w:eastAsia="Times New Roman" w:hAnsi="Arial" w:cs="Arial"/>
          <w:kern w:val="0"/>
          <w:szCs w:val="24"/>
          <w:lang w:eastAsia="es-ES"/>
        </w:rPr>
        <w:t xml:space="preserve">. Del total de recursos que conforman el Sistema General de Participaciones, previamente se deducirá cada año un monto equivalente al 4% de dichos recursos. Dicha deducción se distribuirá así: 0.52% para los resguardos indígenas que se distribuirán y administrará de acuerdo a la presente Ley, el 0.08% para distribuirlos entre los municipios cuyos territorios limiten con el Río Grande de la Magdalena en proporción a la ribera de cada municipio, según la certificación del Instituto Geográfico Agustín Codazzi, 0.5% a los distritos y municipios para programas de alimentación escolar de conformidad con el artículo 76.17 de la presente Ley; y 2.9% al Fondo Nacional de Pensiones de las Entidades Territoriales, Fonpet, creado por la Ley 549 de 1999 con el fin de cubrir los pasivos pensionales de salud, educación y otros sectores. </w:t>
      </w:r>
      <w:hyperlink r:id="rId16" w:anchor="1" w:history="1">
        <w:r w:rsidRPr="00A524F8">
          <w:rPr>
            <w:rFonts w:ascii="Arial" w:eastAsia="Times New Roman" w:hAnsi="Arial" w:cs="Arial"/>
            <w:color w:val="0000FF"/>
            <w:kern w:val="0"/>
            <w:szCs w:val="24"/>
            <w:u w:val="single"/>
            <w:lang w:eastAsia="es-ES"/>
          </w:rPr>
          <w:t>Ver Ley 549 de 1999</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Estos recursos serán descontados directamente por el Ministerio de Hacienda y Crédito Público en la liquidación anual, antes de la distribución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distribución de los recursos para alimentación escolar será realizada de conformidad con el reglamento que expida el Gobierno Nacional, y los del Fonpet por su administración.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7" w:anchor="1" w:history="1">
        <w:r w:rsidRPr="00A524F8">
          <w:rPr>
            <w:rFonts w:ascii="Arial" w:eastAsia="Times New Roman" w:hAnsi="Arial" w:cs="Arial"/>
            <w:color w:val="0000FF"/>
            <w:kern w:val="0"/>
            <w:szCs w:val="24"/>
            <w:u w:val="single"/>
            <w:lang w:eastAsia="es-ES"/>
          </w:rPr>
          <w:t>Ver el Decreto 159 de 2002</w:t>
        </w:r>
      </w:hyperlink>
      <w:r w:rsidRPr="00A524F8">
        <w:rPr>
          <w:rFonts w:ascii="Arial" w:eastAsia="Times New Roman" w:hAnsi="Arial" w:cs="Arial"/>
          <w:kern w:val="0"/>
          <w:szCs w:val="24"/>
          <w:lang w:eastAsia="es-ES"/>
        </w:rPr>
        <w:t xml:space="preserve"> </w:t>
      </w:r>
      <w:hyperlink r:id="rId18" w:anchor="1" w:history="1">
        <w:r w:rsidRPr="00A524F8">
          <w:rPr>
            <w:rFonts w:ascii="Arial" w:eastAsia="Times New Roman" w:hAnsi="Arial" w:cs="Arial"/>
            <w:color w:val="0000FF"/>
            <w:kern w:val="0"/>
            <w:szCs w:val="24"/>
            <w:u w:val="single"/>
            <w:lang w:eastAsia="es-ES"/>
          </w:rPr>
          <w:t>Ver art. 2 Decreto 1584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0" w:name="3"/>
      <w:r w:rsidRPr="00A524F8">
        <w:rPr>
          <w:rFonts w:ascii="Arial" w:eastAsia="Times New Roman" w:hAnsi="Arial" w:cs="Arial"/>
          <w:b/>
          <w:bCs/>
          <w:kern w:val="0"/>
          <w:szCs w:val="24"/>
          <w:lang w:eastAsia="es-ES"/>
        </w:rPr>
        <w:t> </w:t>
      </w:r>
      <w:bookmarkEnd w:id="0"/>
      <w:r w:rsidRPr="00A524F8">
        <w:rPr>
          <w:rFonts w:ascii="Arial" w:eastAsia="Times New Roman" w:hAnsi="Arial" w:cs="Arial"/>
          <w:b/>
          <w:bCs/>
          <w:kern w:val="0"/>
          <w:szCs w:val="24"/>
          <w:lang w:eastAsia="es-ES"/>
        </w:rPr>
        <w:t>3°.</w:t>
      </w:r>
      <w:r w:rsidRPr="00A524F8">
        <w:rPr>
          <w:rFonts w:ascii="Arial" w:eastAsia="Times New Roman" w:hAnsi="Arial" w:cs="Arial"/>
          <w:kern w:val="0"/>
          <w:szCs w:val="24"/>
          <w:lang w:eastAsia="es-ES"/>
        </w:rPr>
        <w:t xml:space="preserve"> Conformación del Sistema General de Participaciones.  </w:t>
      </w:r>
      <w:hyperlink r:id="rId19" w:anchor="1" w:history="1">
        <w:r w:rsidRPr="00A524F8">
          <w:rPr>
            <w:rFonts w:ascii="Arial" w:eastAsia="Times New Roman" w:hAnsi="Arial" w:cs="Arial"/>
            <w:color w:val="0000FF"/>
            <w:kern w:val="0"/>
            <w:szCs w:val="24"/>
            <w:u w:val="single"/>
            <w:lang w:eastAsia="es-ES"/>
          </w:rPr>
          <w:t>Modificado por el art. 1, Ley 1176 de 2007</w:t>
        </w:r>
      </w:hyperlink>
      <w:r w:rsidRPr="00A524F8">
        <w:rPr>
          <w:rFonts w:ascii="Arial" w:eastAsia="Times New Roman" w:hAnsi="Arial" w:cs="Arial"/>
          <w:kern w:val="0"/>
          <w:szCs w:val="24"/>
          <w:lang w:eastAsia="es-ES"/>
        </w:rPr>
        <w:t>. El Sistema General de Participaciones estará conformado así:</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3.1. Una participación con destinación específica para el sector educativo, que se denominará participación para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3.2. Una participación con destinación específica para el sector salud, que se denominará participación para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3.3. Una participación de propósito general que incluye los recursos para agua potable y saneamiento básico, que se denominará participación para propósito general.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20" w:anchor="1" w:history="1">
        <w:r w:rsidRPr="00A524F8">
          <w:rPr>
            <w:rFonts w:ascii="Arial" w:eastAsia="Times New Roman" w:hAnsi="Arial" w:cs="Arial"/>
            <w:color w:val="0000FF"/>
            <w:kern w:val="0"/>
            <w:szCs w:val="24"/>
            <w:u w:val="single"/>
            <w:lang w:eastAsia="es-ES"/>
          </w:rPr>
          <w:t>Ver el Decreto 159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 w:name="4"/>
      <w:r w:rsidRPr="00A524F8">
        <w:rPr>
          <w:rFonts w:ascii="Arial" w:eastAsia="Times New Roman" w:hAnsi="Arial" w:cs="Arial"/>
          <w:b/>
          <w:bCs/>
          <w:kern w:val="0"/>
          <w:szCs w:val="24"/>
          <w:lang w:eastAsia="es-ES"/>
        </w:rPr>
        <w:t> </w:t>
      </w:r>
      <w:bookmarkEnd w:id="1"/>
      <w:r w:rsidRPr="00A524F8">
        <w:rPr>
          <w:rFonts w:ascii="Arial" w:eastAsia="Times New Roman" w:hAnsi="Arial" w:cs="Arial"/>
          <w:b/>
          <w:bCs/>
          <w:kern w:val="0"/>
          <w:szCs w:val="24"/>
          <w:lang w:eastAsia="es-ES"/>
        </w:rPr>
        <w:t>4°.</w:t>
      </w:r>
      <w:r w:rsidRPr="00A524F8">
        <w:rPr>
          <w:rFonts w:ascii="Arial" w:eastAsia="Times New Roman" w:hAnsi="Arial" w:cs="Arial"/>
          <w:kern w:val="0"/>
          <w:szCs w:val="24"/>
          <w:lang w:eastAsia="es-ES"/>
        </w:rPr>
        <w:t xml:space="preserve"> Distribución Sectorial de los Recursos.  </w:t>
      </w:r>
      <w:hyperlink r:id="rId21" w:anchor="2" w:history="1">
        <w:r w:rsidRPr="00A524F8">
          <w:rPr>
            <w:rFonts w:ascii="Arial" w:eastAsia="Times New Roman" w:hAnsi="Arial" w:cs="Arial"/>
            <w:color w:val="0000FF"/>
            <w:kern w:val="0"/>
            <w:szCs w:val="24"/>
            <w:u w:val="single"/>
            <w:lang w:eastAsia="es-ES"/>
          </w:rPr>
          <w:t>Modificado por el art. 2, Ley 1176 de 2007</w:t>
        </w:r>
      </w:hyperlink>
      <w:r w:rsidRPr="00A524F8">
        <w:rPr>
          <w:rFonts w:ascii="Arial" w:eastAsia="Times New Roman" w:hAnsi="Arial" w:cs="Arial"/>
          <w:kern w:val="0"/>
          <w:szCs w:val="24"/>
          <w:lang w:eastAsia="es-ES"/>
        </w:rPr>
        <w:t xml:space="preserve">. El monto total del Sistema General de Participaciones, una vez descontados los recursos a que se refiere el parágrafo 2° del artículo 2°, se distribuirá las participaciones mencionadas en el artículo anterior así: la participación para el sector educativo corresponderá al 58.5%, la participación para el sector salud corresponderá al 24.5 la participación de propósito general corresponderá al 17.0 </w:t>
      </w:r>
      <w:hyperlink r:id="rId22" w:anchor="1" w:history="1">
        <w:r w:rsidRPr="00A524F8">
          <w:rPr>
            <w:rFonts w:ascii="Arial" w:eastAsia="Times New Roman" w:hAnsi="Arial" w:cs="Arial"/>
            <w:color w:val="0000FF"/>
            <w:kern w:val="0"/>
            <w:szCs w:val="24"/>
            <w:u w:val="single"/>
            <w:lang w:eastAsia="es-ES"/>
          </w:rPr>
          <w:t>Ver art. 3, Acto Legislativo 01 de 2001</w:t>
        </w:r>
      </w:hyperlink>
    </w:p>
    <w:p w:rsidR="00A524F8" w:rsidRPr="00A524F8" w:rsidRDefault="00A524F8" w:rsidP="00A524F8">
      <w:pPr>
        <w:spacing w:before="100" w:beforeAutospacing="1" w:after="100" w:afterAutospacing="1"/>
        <w:jc w:val="center"/>
        <w:rPr>
          <w:rFonts w:ascii="Arial" w:eastAsia="Times New Roman" w:hAnsi="Arial" w:cs="Arial"/>
          <w:kern w:val="0"/>
          <w:szCs w:val="24"/>
          <w:lang w:eastAsia="es-ES"/>
        </w:rPr>
      </w:pPr>
      <w:r w:rsidRPr="00A524F8">
        <w:rPr>
          <w:rFonts w:ascii="Arial" w:eastAsia="Times New Roman" w:hAnsi="Arial" w:cs="Arial"/>
          <w:b/>
          <w:bCs/>
          <w:kern w:val="0"/>
          <w:szCs w:val="24"/>
          <w:lang w:eastAsia="es-ES"/>
        </w:rPr>
        <w:t>T I T U L O </w:t>
      </w:r>
      <w:bookmarkStart w:id="2" w:name="2"/>
      <w:r w:rsidRPr="00A524F8">
        <w:rPr>
          <w:rFonts w:ascii="Arial" w:eastAsia="Times New Roman" w:hAnsi="Arial" w:cs="Arial"/>
          <w:b/>
          <w:bCs/>
          <w:kern w:val="0"/>
          <w:szCs w:val="24"/>
          <w:lang w:eastAsia="es-ES"/>
        </w:rPr>
        <w:t> </w:t>
      </w:r>
      <w:bookmarkEnd w:id="2"/>
      <w:r w:rsidRPr="00A524F8">
        <w:rPr>
          <w:rFonts w:ascii="Arial" w:eastAsia="Times New Roman" w:hAnsi="Arial" w:cs="Arial"/>
          <w:b/>
          <w:bCs/>
          <w:kern w:val="0"/>
          <w:szCs w:val="24"/>
          <w:lang w:eastAsia="es-ES"/>
        </w:rPr>
        <w:t>II</w:t>
      </w:r>
    </w:p>
    <w:p w:rsidR="00A524F8" w:rsidRPr="00A524F8" w:rsidRDefault="00A524F8" w:rsidP="00A524F8">
      <w:pPr>
        <w:spacing w:before="100" w:beforeAutospacing="1" w:after="100" w:afterAutospacing="1"/>
        <w:jc w:val="center"/>
        <w:rPr>
          <w:rFonts w:ascii="Arial" w:eastAsia="Times New Roman" w:hAnsi="Arial" w:cs="Arial"/>
          <w:kern w:val="0"/>
          <w:szCs w:val="24"/>
          <w:lang w:eastAsia="es-ES"/>
        </w:rPr>
      </w:pPr>
      <w:r w:rsidRPr="00A524F8">
        <w:rPr>
          <w:rFonts w:ascii="Arial" w:eastAsia="Times New Roman" w:hAnsi="Arial" w:cs="Arial"/>
          <w:b/>
          <w:bCs/>
          <w:kern w:val="0"/>
          <w:szCs w:val="24"/>
          <w:lang w:eastAsia="es-ES"/>
        </w:rPr>
        <w:t>SECTOR EDUCACION</w:t>
      </w:r>
    </w:p>
    <w:p w:rsidR="00A524F8" w:rsidRPr="00A524F8" w:rsidRDefault="00A524F8" w:rsidP="00A524F8">
      <w:pPr>
        <w:spacing w:before="100" w:beforeAutospacing="1" w:after="100" w:afterAutospacing="1"/>
        <w:jc w:val="center"/>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CAPITULO I </w:t>
      </w:r>
      <w:hyperlink r:id="rId23" w:anchor="0" w:history="1">
        <w:r w:rsidRPr="00A524F8">
          <w:rPr>
            <w:rFonts w:ascii="Arial" w:eastAsia="Times New Roman" w:hAnsi="Arial" w:cs="Arial"/>
            <w:color w:val="0000FF"/>
            <w:kern w:val="0"/>
            <w:szCs w:val="24"/>
            <w:u w:val="single"/>
            <w:lang w:eastAsia="es-ES"/>
          </w:rPr>
          <w:t xml:space="preserve">Ver el Decreto Nacional 2582 de 2003 </w:t>
        </w:r>
      </w:hyperlink>
    </w:p>
    <w:p w:rsidR="00A524F8" w:rsidRPr="00A524F8" w:rsidRDefault="00A524F8" w:rsidP="00A524F8">
      <w:pPr>
        <w:spacing w:before="100" w:beforeAutospacing="1" w:after="100" w:afterAutospacing="1"/>
        <w:jc w:val="center"/>
        <w:rPr>
          <w:rFonts w:ascii="Arial" w:eastAsia="Times New Roman" w:hAnsi="Arial" w:cs="Arial"/>
          <w:kern w:val="0"/>
          <w:szCs w:val="24"/>
          <w:lang w:eastAsia="es-ES"/>
        </w:rPr>
      </w:pPr>
      <w:r w:rsidRPr="00A524F8">
        <w:rPr>
          <w:rFonts w:ascii="Arial" w:eastAsia="Times New Roman" w:hAnsi="Arial" w:cs="Arial"/>
          <w:b/>
          <w:bCs/>
          <w:kern w:val="0"/>
          <w:szCs w:val="24"/>
          <w:lang w:eastAsia="es-ES"/>
        </w:rPr>
        <w:t>Competencias de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3" w:name="5"/>
      <w:r w:rsidRPr="00A524F8">
        <w:rPr>
          <w:rFonts w:ascii="Arial" w:eastAsia="Times New Roman" w:hAnsi="Arial" w:cs="Arial"/>
          <w:b/>
          <w:bCs/>
          <w:kern w:val="0"/>
          <w:szCs w:val="24"/>
          <w:lang w:eastAsia="es-ES"/>
        </w:rPr>
        <w:t> </w:t>
      </w:r>
      <w:bookmarkEnd w:id="3"/>
      <w:r w:rsidRPr="00A524F8">
        <w:rPr>
          <w:rFonts w:ascii="Arial" w:eastAsia="Times New Roman" w:hAnsi="Arial" w:cs="Arial"/>
          <w:b/>
          <w:bCs/>
          <w:kern w:val="0"/>
          <w:szCs w:val="24"/>
          <w:lang w:eastAsia="es-ES"/>
        </w:rPr>
        <w:t>5°.</w:t>
      </w:r>
      <w:r w:rsidRPr="00A524F8">
        <w:rPr>
          <w:rFonts w:ascii="Arial" w:eastAsia="Times New Roman" w:hAnsi="Arial" w:cs="Arial"/>
          <w:kern w:val="0"/>
          <w:szCs w:val="24"/>
          <w:lang w:eastAsia="es-ES"/>
        </w:rPr>
        <w:t xml:space="preserve"> Competencias de la Nación en materia de educación. Sin perjuicio de las establecidas en otras normas legales, corresponde a la Nación ejercer las siguientes competencias relacionadas con la prestación del servicio público de la educación en sus niveles preescolar, básico y medio, en el área urbana y rural: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 Formular las políticas y objetivos de desarrollo para el sector educativo y dictar normas para la organización y prestación del servicio.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5.2. Regular la prestación de los servicios educativos estatales y no estatales.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5.3.  </w:t>
      </w:r>
      <w:hyperlink r:id="rId24" w:anchor="0" w:history="1">
        <w:r w:rsidRPr="00A524F8">
          <w:rPr>
            <w:rFonts w:ascii="Arial" w:eastAsia="Times New Roman" w:hAnsi="Arial" w:cs="Arial"/>
            <w:color w:val="0000FF"/>
            <w:kern w:val="0"/>
            <w:szCs w:val="24"/>
            <w:u w:val="single"/>
            <w:lang w:eastAsia="es-ES"/>
          </w:rPr>
          <w:t>Reglamentado por la Resolución del Min. Educación 1457 de 2006</w:t>
        </w:r>
      </w:hyperlink>
      <w:r w:rsidRPr="00A524F8">
        <w:rPr>
          <w:rFonts w:ascii="Arial" w:eastAsia="Times New Roman" w:hAnsi="Arial" w:cs="Arial"/>
          <w:kern w:val="0"/>
          <w:szCs w:val="24"/>
          <w:lang w:eastAsia="es-ES"/>
        </w:rPr>
        <w:t>. Impulsar, coordinar, financiar, cofinanciar y evaluar programas, planes y proyectos de inversión de orden nacional en materia de educación, con recursos diferentes de los del Sistema General de Participaciones. Con estos recursos no se podrá pagar personal de administración, directivo, docente o administrativo.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5.4. Definir, diseñar, reglamentar y mantener un sistema de información del sector educativo.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5.5. Establecer las normas técnicas curriculares y pedagógicas para los niveles de educación preescolar, básica y media, sin perjuicio de la autonomía de las instituciones educativas y de la especificidad de tipo regional.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5.6. Definir, diseñar y establecer instrumentos y mecanismos para la calidad de la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5.7. Reglamentar los concursos que rigen para la carrera docente.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5.8.  </w:t>
      </w:r>
      <w:r w:rsidRPr="00A524F8">
        <w:rPr>
          <w:rFonts w:ascii="Arial" w:eastAsia="Times New Roman" w:hAnsi="Arial" w:cs="Arial"/>
          <w:b/>
          <w:bCs/>
          <w:kern w:val="0"/>
          <w:szCs w:val="24"/>
          <w:lang w:eastAsia="es-ES"/>
        </w:rPr>
        <w:t>INEXEQUIBLE</w:t>
      </w:r>
      <w:r w:rsidRPr="00A524F8">
        <w:rPr>
          <w:rFonts w:ascii="Arial" w:eastAsia="Times New Roman" w:hAnsi="Arial" w:cs="Arial"/>
          <w:kern w:val="0"/>
          <w:szCs w:val="24"/>
          <w:lang w:eastAsia="es-ES"/>
        </w:rPr>
        <w:t>. Definir, </w:t>
      </w:r>
      <w:bookmarkStart w:id="4" w:name="5-8"/>
      <w:r w:rsidRPr="00A524F8">
        <w:rPr>
          <w:rFonts w:ascii="Arial" w:eastAsia="Times New Roman" w:hAnsi="Arial" w:cs="Arial"/>
          <w:kern w:val="0"/>
          <w:szCs w:val="24"/>
          <w:lang w:eastAsia="es-ES"/>
        </w:rPr>
        <w:t> </w:t>
      </w:r>
      <w:bookmarkEnd w:id="4"/>
      <w:r w:rsidRPr="00A524F8">
        <w:rPr>
          <w:rFonts w:ascii="Arial" w:eastAsia="Times New Roman" w:hAnsi="Arial" w:cs="Arial"/>
          <w:kern w:val="0"/>
          <w:szCs w:val="24"/>
          <w:lang w:eastAsia="es-ES"/>
        </w:rPr>
        <w:t>y establecer las reglas y mecanismos generales para la evaluación y capacitación del personal docente y directivo docente. </w:t>
      </w:r>
      <w:hyperlink r:id="rId25" w:anchor="0" w:history="1">
        <w:r w:rsidRPr="00A524F8">
          <w:rPr>
            <w:rFonts w:ascii="Arial" w:eastAsia="Times New Roman" w:hAnsi="Arial" w:cs="Arial"/>
            <w:color w:val="0000FF"/>
            <w:kern w:val="0"/>
            <w:szCs w:val="24"/>
            <w:u w:val="single"/>
            <w:lang w:eastAsia="es-ES"/>
          </w:rPr>
          <w:t>Corte Constitucional Sentencia C-723 de 2004</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5.9. Evaluar la gestión financiera, técnica y administrativa del sector educativo en las entidades territoriales y el impacto de su actividad en la sociedad. Esta facultad se podrá delegar en los departamentos, con respecto a los municipios no certificados.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5.10. Prestar asistencia técnica y administrativa a las entidades territoriales, cuando a ello haya lugar.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5.11. Vigilar el cumplimiento de las políticas nacionales y las normas del sector en los distritos, departamentos, municipios, resguardos indígenas y/o entidades territoriales indígenas. Esta facultad la podrá delegar en los departamentos, con respecto a los municipios no certificados.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5.12. Expedir la regulación sobre costos, tarifas de matrículas, pensiones, derechos académicos y otros cobros en las instituciones educativas.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5.13. Distribuir los recursos para educación del Sistema General de Participaciones, conforme a los criterios establecidos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5.14. Fijar parámetros técnicos para la prestación del servicio educativo estatal, estándares y tasas de asignación de personal, teniendo en cuenta las particularidades de cada región;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5.15. Definir anualmente la asignación por alumno, tanto de funcionamiento como de calidad, para la prestación del servicio educativo financiado con recursos del Sistema General de Participaciones, de acuerdo con las tipologías educativas y la disponibilidad de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5.16. Determinar los criterios a los cuales deben sujetarse las plantas docente y administrativa de los planteles educativos y los parámetros de asignación de personal correspondientes a: alumnos por docente; alumnos por directivo; y alumnos por administrativo, entre otros, teniendo en cuenta las particularidades de cada región.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5.17. Definir la canasta educativa.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5.18. En caso de ser necesaria la creación, fusión, supresión o conversión de los empleos que demande la organización de las plantas de personal de la educación estatal, los gobernadores y alcaldes deberán seguir el procedimiento que señale el Gobierno Nacional para tal fin.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5.19. Establecer los requisitos para la certificación de los municipios, y decidir sobre la certificación de los municipios menores a cien mil habitantes de conformidad con el artículo 20 de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5.20. Establecer incentivos para los distritos, municipios e instituciones educativas por el logro de metas en cobertura, calidad y eficiencia en el uso de los recursos.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5.21. Realizar las acciones necesarias para mejorar la administración de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5.22. Cofinanciar la evaluación de logros. A cada departamento, distrito o municipio se podrá distribuir cada tres años una suma para evaluar el logro educativo de acuerdo con la metodología que señale el Ministerio de Educación Nacional. El 80% será financiado por la Nación y el 20% por la entidad territorial.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5.23. Las demás propias de las actividades de administración y distribución, regulación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26" w:anchor="0" w:history="1">
        <w:r w:rsidRPr="00A524F8">
          <w:rPr>
            <w:rFonts w:ascii="Arial" w:eastAsia="Times New Roman" w:hAnsi="Arial" w:cs="Arial"/>
            <w:color w:val="0000FF"/>
            <w:kern w:val="0"/>
            <w:szCs w:val="24"/>
            <w:u w:val="single"/>
            <w:lang w:eastAsia="es-ES"/>
          </w:rPr>
          <w:t>Ver la Directiva del Ministerio de Educación 15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lastRenderedPageBreak/>
        <w:t>CAPITULO II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Competencias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5" w:name="6"/>
      <w:r w:rsidRPr="00A524F8">
        <w:rPr>
          <w:rFonts w:ascii="Arial" w:eastAsia="Times New Roman" w:hAnsi="Arial" w:cs="Arial"/>
          <w:b/>
          <w:bCs/>
          <w:kern w:val="0"/>
          <w:szCs w:val="24"/>
          <w:lang w:eastAsia="es-ES"/>
        </w:rPr>
        <w:t> </w:t>
      </w:r>
      <w:bookmarkEnd w:id="5"/>
      <w:r w:rsidRPr="00A524F8">
        <w:rPr>
          <w:rFonts w:ascii="Arial" w:eastAsia="Times New Roman" w:hAnsi="Arial" w:cs="Arial"/>
          <w:b/>
          <w:bCs/>
          <w:kern w:val="0"/>
          <w:szCs w:val="24"/>
          <w:lang w:eastAsia="es-ES"/>
        </w:rPr>
        <w:t>6°.</w:t>
      </w:r>
      <w:r w:rsidRPr="00A524F8">
        <w:rPr>
          <w:rFonts w:ascii="Arial" w:eastAsia="Times New Roman" w:hAnsi="Arial" w:cs="Arial"/>
          <w:kern w:val="0"/>
          <w:szCs w:val="24"/>
          <w:lang w:eastAsia="es-ES"/>
        </w:rPr>
        <w:t xml:space="preserve"> Competencias de los departamentos. Sin perjuicio de lo establecido en otras normas, corresponde a los departamentos en el sector de educación las siguientes competencias: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6.1. Competencias Generales.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6.1.1. Prestar asistencia técnica educativa, financiera y administrativa a los municipios, cuando a ello haya lugar.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6.1.2. Administrar y responder por el funcionamiento, oportunidad y calidad de la información educativa departamental y suministrar la información a la Nación en las condiciones que se requiera.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6.1.3. Apoyar técnica y administrativamente a los municipios para que se certifiquen en los términos previstos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6.1.4. Certificar a los municipios que cumplen los requisitos para asumir la administración autónoma de los recursos del Sistema General de Participaciones. Si el municipio cumple los requisitos para ser certificado y el departamento no lo certifica, podrá solicitarla a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 Competencias frente a los municipios no certificados.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6.2.1. Dirigir, planificar; y prestar el servicio educativo en los niveles de preescolar, básica, media en sus distintas modalidades, en condiciones de equidad, eficiencia y calidad, en los términos definidos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6.2.2. Administrar y distribuir entre los municipios de su jurisdicción los recursos financieros provenientes del Sistema General de Participaciones, destinados a la prestación de los servicios educativos a cargo del Estado, atendiendo los criterios establecidos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6.2.3. Administrar, ejerciendo las facultades señaladas en el artículo 153 de la Ley 115 de 1994, las instituciones educativas y el personal docente y administrativo de los planteles educativos, sujetándose a la planta de cargos adoptada de conformidad con la presente ley. Para ello, realizará concursos, efectuará los nombramientos del personal requerido, administrará los ascensos, </w:t>
      </w:r>
      <w:r w:rsidRPr="00A524F8">
        <w:rPr>
          <w:rFonts w:ascii="Arial" w:eastAsia="Times New Roman" w:hAnsi="Arial" w:cs="Arial"/>
          <w:kern w:val="0"/>
          <w:szCs w:val="24"/>
          <w:u w:val="single"/>
          <w:lang w:eastAsia="es-ES"/>
        </w:rPr>
        <w:t xml:space="preserve">sin superar en ningún caso el monto de los recursos disponibles en el Sistema General de Participaciones </w:t>
      </w:r>
      <w:r w:rsidRPr="00A524F8">
        <w:rPr>
          <w:rFonts w:ascii="Arial" w:eastAsia="Times New Roman" w:hAnsi="Arial" w:cs="Arial"/>
          <w:kern w:val="0"/>
          <w:szCs w:val="24"/>
          <w:lang w:eastAsia="es-ES"/>
        </w:rPr>
        <w:t>y trasladará docentes entre los municipios, preferiblemente entre los limítrofes, sin más requisito legal que la expedición de los respectivos actos administrativos debidamente motivados. </w:t>
      </w:r>
      <w:r w:rsidRPr="00A524F8">
        <w:rPr>
          <w:rFonts w:ascii="Arial" w:eastAsia="Times New Roman" w:hAnsi="Arial" w:cs="Arial"/>
          <w:b/>
          <w:bCs/>
          <w:kern w:val="0"/>
          <w:szCs w:val="24"/>
          <w:lang w:eastAsia="es-ES"/>
        </w:rPr>
        <w:t>Texto subrayado declarado EXEQUIBLE por la Corte Constitucional, mediante</w:t>
      </w:r>
      <w:r w:rsidRPr="00A524F8">
        <w:rPr>
          <w:rFonts w:ascii="Arial" w:eastAsia="Times New Roman" w:hAnsi="Arial" w:cs="Arial"/>
          <w:kern w:val="0"/>
          <w:szCs w:val="24"/>
          <w:lang w:eastAsia="es-ES"/>
        </w:rPr>
        <w:t xml:space="preserve"> </w:t>
      </w:r>
      <w:hyperlink r:id="rId27" w:anchor="0" w:history="1">
        <w:r w:rsidRPr="00A524F8">
          <w:rPr>
            <w:rFonts w:ascii="Arial" w:eastAsia="Times New Roman" w:hAnsi="Arial" w:cs="Arial"/>
            <w:color w:val="0000FF"/>
            <w:kern w:val="0"/>
            <w:szCs w:val="24"/>
            <w:u w:val="single"/>
            <w:lang w:eastAsia="es-ES"/>
          </w:rPr>
          <w:t>Sentencia C-423 de 2005</w:t>
        </w:r>
      </w:hyperlink>
      <w:r w:rsidRPr="00A524F8">
        <w:rPr>
          <w:rFonts w:ascii="Arial" w:eastAsia="Times New Roman" w:hAnsi="Arial" w:cs="Arial"/>
          <w:kern w:val="0"/>
          <w:szCs w:val="24"/>
          <w:lang w:eastAsia="es-ES"/>
        </w:rPr>
        <w:t xml:space="preserve">, </w:t>
      </w:r>
      <w:r w:rsidRPr="00A524F8">
        <w:rPr>
          <w:rFonts w:ascii="Arial" w:eastAsia="Times New Roman" w:hAnsi="Arial" w:cs="Arial"/>
          <w:b/>
          <w:bCs/>
          <w:kern w:val="0"/>
          <w:szCs w:val="24"/>
          <w:lang w:eastAsia="es-ES"/>
        </w:rPr>
        <w:t xml:space="preserve">en el entendido de (i) que el reconocimiento de un ascenso de la carrera docente no podrá ser supeditado a la suficiencia de los recursos con destino a educación que debieron ser apropiados en el sistema general de participaciones para la </w:t>
      </w:r>
      <w:r w:rsidRPr="00A524F8">
        <w:rPr>
          <w:rFonts w:ascii="Arial" w:eastAsia="Times New Roman" w:hAnsi="Arial" w:cs="Arial"/>
          <w:b/>
          <w:bCs/>
          <w:kern w:val="0"/>
          <w:szCs w:val="24"/>
          <w:lang w:eastAsia="es-ES"/>
        </w:rPr>
        <w:lastRenderedPageBreak/>
        <w:t>correspondiente vigencia fiscal en razón de los ascensos que debieron ser previstos para dicho año, y (ii) que las consecuencias fiscales de dicho reconocimiento, de no haber disponibilidad presupuestal en un caso determinado, se harán efectivas a más tardar en la siguiente vigencia fiscal a partir del acto de reconocimiento del derecho</w:t>
      </w:r>
      <w:r w:rsidRPr="00A524F8">
        <w:rPr>
          <w:rFonts w:ascii="Arial" w:eastAsia="Times New Roman" w:hAnsi="Arial" w:cs="Arial"/>
          <w:kern w:val="0"/>
          <w:szCs w:val="24"/>
          <w:lang w:eastAsia="es-ES"/>
        </w:rPr>
        <w:t xml:space="preserve">.  </w:t>
      </w:r>
      <w:hyperlink r:id="rId28" w:anchor="1" w:history="1">
        <w:r w:rsidRPr="00A524F8">
          <w:rPr>
            <w:rFonts w:ascii="Arial" w:eastAsia="Times New Roman" w:hAnsi="Arial" w:cs="Arial"/>
            <w:color w:val="0000FF"/>
            <w:kern w:val="0"/>
            <w:szCs w:val="24"/>
            <w:u w:val="single"/>
            <w:lang w:eastAsia="es-ES"/>
          </w:rPr>
          <w:t>Ver art. 153, Ley 115 de 1994</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6.2.4. Participar con recursos propios en la financiación de los servicios educativos a cargo del Estado, en la cofinanciación de programas y proyectos educativos y en las inversiones de infraestructura, calidad y dotación. Los costos amparados con estos recursos no podrán generar gastos permanentes a cargo al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6.2.5. Mantener la cobertura actual y propender a su ampliación.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6.2.6. Evaluar el desempeño de rectores y directores, y de los docentes directivos, de conformidad con las normas vigentes.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6.2.7. Ejercer la inspección, vigilancia y supervisión de la educación en su jurisdicción, en ejercicio de la delegación que para tal fin realice el Presidente de la República.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6.2.8. Prestar asistencia técnica y administrativa a las instituciones educativas, cuando a ello haya lugar.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6.2.9. Promover la aplicación y ejecución de planes de mejoramiento de la calidad.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6.2.10. Distribuir entre los municipios los docentes, directivos y empleados administrativos, de acuerdo con las necesidades del servicio, de conformidad con el reglamento.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6.2.11. Distribuir las plantas departamentales de personal docente, directivos y empleados administrativos, atendiendo los criterios de población atendida y por atender en condiciones de eficiencia, siguiendo la regulación nacional sobre la materia.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6.2.12. Organizar la prestación y administración del servicio educativo en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6.2.13. Vigilar la aplicación de la regulación nacional sobre las tarifas de matrículas, pensiones, derechos académicos y otros cobros en los establecimientos educativos.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6.2.14. Cofinanciar la evaluación de logros de acuerdo con lo establecido en el numeral 5.22.</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6.2.15. </w:t>
      </w:r>
      <w:bookmarkStart w:id="6" w:name="6-2-15"/>
      <w:r w:rsidRPr="00A524F8">
        <w:rPr>
          <w:rFonts w:ascii="Arial" w:eastAsia="Times New Roman" w:hAnsi="Arial" w:cs="Arial"/>
          <w:kern w:val="0"/>
          <w:szCs w:val="24"/>
          <w:lang w:eastAsia="es-ES"/>
        </w:rPr>
        <w:t> </w:t>
      </w:r>
      <w:bookmarkEnd w:id="6"/>
      <w:r w:rsidRPr="00A524F8">
        <w:rPr>
          <w:rFonts w:ascii="Arial" w:eastAsia="Times New Roman" w:hAnsi="Arial" w:cs="Arial"/>
          <w:kern w:val="0"/>
          <w:szCs w:val="24"/>
          <w:lang w:eastAsia="es-ES"/>
        </w:rPr>
        <w:t> </w:t>
      </w:r>
      <w:hyperlink r:id="rId29" w:anchor="0" w:history="1">
        <w:r w:rsidRPr="00A524F8">
          <w:rPr>
            <w:rFonts w:ascii="Arial" w:eastAsia="Times New Roman" w:hAnsi="Arial" w:cs="Arial"/>
            <w:color w:val="0000FF"/>
            <w:kern w:val="0"/>
            <w:szCs w:val="24"/>
            <w:u w:val="single"/>
            <w:lang w:eastAsia="es-ES"/>
          </w:rPr>
          <w:t>Reglamentado por el Decreto Nacional 1095 de 2005</w:t>
        </w:r>
      </w:hyperlink>
      <w:r w:rsidRPr="00A524F8">
        <w:rPr>
          <w:rFonts w:ascii="Arial" w:eastAsia="Times New Roman" w:hAnsi="Arial" w:cs="Arial"/>
          <w:kern w:val="0"/>
          <w:szCs w:val="24"/>
          <w:lang w:eastAsia="es-ES"/>
        </w:rPr>
        <w:t xml:space="preserve">. Para efectos de la inscripción y los ascensos en el escalafón, la entidad territorial determinará la repartición organizacional encargada de esta función de conformidad con el </w:t>
      </w:r>
      <w:r w:rsidRPr="00A524F8">
        <w:rPr>
          <w:rFonts w:ascii="Arial" w:eastAsia="Times New Roman" w:hAnsi="Arial" w:cs="Arial"/>
          <w:kern w:val="0"/>
          <w:szCs w:val="24"/>
          <w:lang w:eastAsia="es-ES"/>
        </w:rPr>
        <w:lastRenderedPageBreak/>
        <w:t xml:space="preserve">reglamento que expida el Gobierno Nacional. </w:t>
      </w:r>
      <w:hyperlink r:id="rId30" w:anchor="1" w:history="1">
        <w:r w:rsidRPr="00A524F8">
          <w:rPr>
            <w:rFonts w:ascii="Arial" w:eastAsia="Times New Roman" w:hAnsi="Arial" w:cs="Arial"/>
            <w:color w:val="0000FF"/>
            <w:kern w:val="0"/>
            <w:szCs w:val="24"/>
            <w:u w:val="single"/>
            <w:lang w:eastAsia="es-ES"/>
          </w:rPr>
          <w:t xml:space="preserve">Reglamentada por el Decreto Nacional 300 de 2002 </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Algunas de estas competencias, salvo la de nominación y traslado de personal entre municipios, se podrán delegar en los municipios no certificados que cumplan con los parámetros establecidos por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7" w:name="7"/>
      <w:r w:rsidRPr="00A524F8">
        <w:rPr>
          <w:rFonts w:ascii="Arial" w:eastAsia="Times New Roman" w:hAnsi="Arial" w:cs="Arial"/>
          <w:b/>
          <w:bCs/>
          <w:kern w:val="0"/>
          <w:szCs w:val="24"/>
          <w:lang w:eastAsia="es-ES"/>
        </w:rPr>
        <w:t> </w:t>
      </w:r>
      <w:bookmarkEnd w:id="7"/>
      <w:r w:rsidRPr="00A524F8">
        <w:rPr>
          <w:rFonts w:ascii="Arial" w:eastAsia="Times New Roman" w:hAnsi="Arial" w:cs="Arial"/>
          <w:b/>
          <w:bCs/>
          <w:kern w:val="0"/>
          <w:szCs w:val="24"/>
          <w:lang w:eastAsia="es-ES"/>
        </w:rPr>
        <w:t>7°.</w:t>
      </w:r>
      <w:r w:rsidRPr="00A524F8">
        <w:rPr>
          <w:rFonts w:ascii="Arial" w:eastAsia="Times New Roman" w:hAnsi="Arial" w:cs="Arial"/>
          <w:kern w:val="0"/>
          <w:szCs w:val="24"/>
          <w:lang w:eastAsia="es-ES"/>
        </w:rPr>
        <w:t xml:space="preserve"> Competencias de los distritos y los municipios certificados.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7.1. Dirigir, planificar y prestar el servicio educativo en los niveles de preescolar, básica y media, en condiciones de equidad, eficiencia y calidad, en los términos definidos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7.2. Administrar y distribuir entre los establecimientos educativos de su jurisdicción los recursos financieros provenientes del Sistema General de Participaciones, destinados a la prestación de los servicios educativos a cargo del Estado, atendiendo los criterios establecidos en la presente ley y en el reglamento.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7.3. Administrar, ejerciendo las facultades señaladas en el artículo 153 de la Ley 115 de 1994, las instituciones educativas, el personal docente y administrativo de los planteles educativos, sujetándose a la planta de cargos adoptada de conformidad con la presente ley. Para ello, realizará concursos, efectuará los nombramientos del personal requerido, administrará los ascensos, </w:t>
      </w:r>
      <w:r w:rsidRPr="00A524F8">
        <w:rPr>
          <w:rFonts w:ascii="Arial" w:eastAsia="Times New Roman" w:hAnsi="Arial" w:cs="Arial"/>
          <w:kern w:val="0"/>
          <w:szCs w:val="24"/>
          <w:u w:val="single"/>
          <w:lang w:eastAsia="es-ES"/>
        </w:rPr>
        <w:t>sin superar en ningún caso el monto de los recursos de la participación para educación del Sistema General de Participaciones asignado a la respectiva entidad territorial</w:t>
      </w:r>
      <w:r w:rsidRPr="00A524F8">
        <w:rPr>
          <w:rFonts w:ascii="Arial" w:eastAsia="Times New Roman" w:hAnsi="Arial" w:cs="Arial"/>
          <w:kern w:val="0"/>
          <w:szCs w:val="24"/>
          <w:lang w:eastAsia="es-ES"/>
        </w:rPr>
        <w:t xml:space="preserve"> y trasladará docentes entre instituciones educativas, sin más requisito legal que la expedición de los respectivos actos administrativos debidamente motivados. </w:t>
      </w:r>
      <w:r w:rsidRPr="00A524F8">
        <w:rPr>
          <w:rFonts w:ascii="Arial" w:eastAsia="Times New Roman" w:hAnsi="Arial" w:cs="Arial"/>
          <w:b/>
          <w:bCs/>
          <w:kern w:val="0"/>
          <w:szCs w:val="24"/>
          <w:lang w:eastAsia="es-ES"/>
        </w:rPr>
        <w:t xml:space="preserve">Texto subrayado declarado EXEQUIBLE por la Corte Constitucional, mediante </w:t>
      </w:r>
      <w:hyperlink r:id="rId31" w:anchor="0" w:history="1">
        <w:r w:rsidRPr="00A524F8">
          <w:rPr>
            <w:rFonts w:ascii="Arial" w:eastAsia="Times New Roman" w:hAnsi="Arial" w:cs="Arial"/>
            <w:color w:val="0000FF"/>
            <w:kern w:val="0"/>
            <w:szCs w:val="24"/>
            <w:u w:val="single"/>
            <w:lang w:eastAsia="es-ES"/>
          </w:rPr>
          <w:t>Sentencia C-423 de 2005</w:t>
        </w:r>
      </w:hyperlink>
      <w:r w:rsidRPr="00A524F8">
        <w:rPr>
          <w:rFonts w:ascii="Arial" w:eastAsia="Times New Roman" w:hAnsi="Arial" w:cs="Arial"/>
          <w:kern w:val="0"/>
          <w:szCs w:val="24"/>
          <w:lang w:eastAsia="es-ES"/>
        </w:rPr>
        <w:t xml:space="preserve">, </w:t>
      </w:r>
      <w:r w:rsidRPr="00A524F8">
        <w:rPr>
          <w:rFonts w:ascii="Arial" w:eastAsia="Times New Roman" w:hAnsi="Arial" w:cs="Arial"/>
          <w:b/>
          <w:bCs/>
          <w:kern w:val="0"/>
          <w:szCs w:val="24"/>
          <w:lang w:eastAsia="es-ES"/>
        </w:rPr>
        <w:t>en el entendido de (i) que el reconocimiento de un ascenso de la carrera docente no podrá ser supeditado a la suficiencia de los recursos con destino a educación que debieron ser apropiados en el sistema general de participaciones para la correspondiente vigencia fiscal en razón de los ascensos que debieron ser previstos para dicho año, y (ii) que las consecuencias fiscales de dicho reconocimiento, de no haber disponibilidad presupuestal en un caso determinado, se harán efectivas a más tardar en la siguiente vigencia fiscal a partir del acto de reconocimiento del derecho</w:t>
      </w:r>
      <w:r w:rsidRPr="00A524F8">
        <w:rPr>
          <w:rFonts w:ascii="Arial" w:eastAsia="Times New Roman" w:hAnsi="Arial" w:cs="Arial"/>
          <w:kern w:val="0"/>
          <w:szCs w:val="24"/>
          <w:lang w:eastAsia="es-ES"/>
        </w:rPr>
        <w:t>.</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 Distribuir entre las instituciones educativas los docentes y la planta de cargos, de acuerdo con las necesidades del servicio entendida como población atendida y por atender en condiciones de eficiencia, siguiendo la regulación nacional sobre la materia.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7.5. Podrán participar con recursos propios en la financiación de los servicios educativos a cargo del Estado y en la cofinanciación de programas y proyectos educativos y en las inversiones de infraestructura, calidad y dotación. Los costos amparados con estos recursos no podrán generar gastos permanentes a cargo al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7.6. Mantener la actual cobertura y propender a su ampliación.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7.7. Evaluar el desempeño de rectores y directores, y de los directivos docentes.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7.8. Ejercer la inspección, vigilancia y supervisión de la educación en su jurisdicción, en ejercicio de la delegación que para tal fin realice el Presidente de la República.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7.9. Prestar asistencia técnica y administrativa a las instituciones educativas cuando a ello haya lugar.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7.10. Administrar el Sistema de Información Educativa Municipal o Distrital y suministrar la información al departamento y a la Nación con la calidad y en la oportunidad que señale el reglamento.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7.11. Promover la aplicación y ejecución de los planes de mejoramiento de la calidad en sus instituciones.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7.12. Organizar la prestación del servicio educativo en su en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7.13. Vigilar la aplicación de la regulación nacional sobre las tarifas de matrículas, pensiones, derechos académicos y cobros periódicos en las instituciones educativas.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7.14. Cofinanciar la evaluación de logros de acuerdo con lo establecido en el numeral 5.22.</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7.15. </w:t>
      </w:r>
      <w:bookmarkStart w:id="8" w:name="7-15"/>
      <w:r w:rsidRPr="00A524F8">
        <w:rPr>
          <w:rFonts w:ascii="Arial" w:eastAsia="Times New Roman" w:hAnsi="Arial" w:cs="Arial"/>
          <w:kern w:val="0"/>
          <w:szCs w:val="24"/>
          <w:lang w:eastAsia="es-ES"/>
        </w:rPr>
        <w:t> </w:t>
      </w:r>
      <w:bookmarkEnd w:id="8"/>
      <w:r w:rsidRPr="00A524F8">
        <w:rPr>
          <w:rFonts w:ascii="Arial" w:eastAsia="Times New Roman" w:hAnsi="Arial" w:cs="Arial"/>
          <w:kern w:val="0"/>
          <w:szCs w:val="24"/>
          <w:lang w:eastAsia="es-ES"/>
        </w:rPr>
        <w:t> </w:t>
      </w:r>
      <w:hyperlink r:id="rId32" w:anchor="0" w:history="1">
        <w:r w:rsidRPr="00A524F8">
          <w:rPr>
            <w:rFonts w:ascii="Arial" w:eastAsia="Times New Roman" w:hAnsi="Arial" w:cs="Arial"/>
            <w:color w:val="0000FF"/>
            <w:kern w:val="0"/>
            <w:szCs w:val="24"/>
            <w:u w:val="single"/>
            <w:lang w:eastAsia="es-ES"/>
          </w:rPr>
          <w:t>Reglamentado por el Decreto Nacional 1095 de 2005</w:t>
        </w:r>
      </w:hyperlink>
      <w:r w:rsidRPr="00A524F8">
        <w:rPr>
          <w:rFonts w:ascii="Arial" w:eastAsia="Times New Roman" w:hAnsi="Arial" w:cs="Arial"/>
          <w:kern w:val="0"/>
          <w:szCs w:val="24"/>
          <w:lang w:eastAsia="es-ES"/>
        </w:rPr>
        <w:t xml:space="preserve">. Para efectos de la inscripción y los ascensos en el escalafón, la entidad territorial determinará la repartición organizacional encargada de esta función de conformidad con el reglamento que expida el Gobierno Nacional. </w:t>
      </w:r>
      <w:hyperlink r:id="rId33" w:anchor="1" w:history="1">
        <w:r w:rsidRPr="00A524F8">
          <w:rPr>
            <w:rFonts w:ascii="Arial" w:eastAsia="Times New Roman" w:hAnsi="Arial" w:cs="Arial"/>
            <w:color w:val="0000FF"/>
            <w:kern w:val="0"/>
            <w:szCs w:val="24"/>
            <w:u w:val="single"/>
            <w:lang w:eastAsia="es-ES"/>
          </w:rPr>
          <w:t xml:space="preserve">Reglamentada por el Decreto Nacional 300 de 2002 </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8°.</w:t>
      </w:r>
      <w:r w:rsidRPr="00A524F8">
        <w:rPr>
          <w:rFonts w:ascii="Arial" w:eastAsia="Times New Roman" w:hAnsi="Arial" w:cs="Arial"/>
          <w:kern w:val="0"/>
          <w:szCs w:val="24"/>
          <w:lang w:eastAsia="es-ES"/>
        </w:rPr>
        <w:t xml:space="preserve"> Competencias de los municipios no certificados. A los municipios no certificados se les asignarán las siguientes funciones: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8.1. Administrar y distribuir los recursos del Sistema General de Participaciones que se le asignen para el mantenimiento y mejoramiento de la calidad.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8.2. Trasladar plazas y docentes entre sus instituciones educativas, mediante acto administrativo debidamente motivado.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8.3. Podrán participar con recursos propios en la financiación de los servicios educativos a cargo del Estado y en las inversiones de infraestructura, calidad y dotación. Los costos amparados por estos recursos no podrán generar gastos permanentes para 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8.4. Suministrar la información al departamento y a la Nación con la calidad y en la oportunidad que señale el reglamento.</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lastRenderedPageBreak/>
        <w:t>CAPITULO III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De las instituciones educativas, los rectores y los recursos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9°.</w:t>
      </w:r>
      <w:r w:rsidRPr="00A524F8">
        <w:rPr>
          <w:rFonts w:ascii="Arial" w:eastAsia="Times New Roman" w:hAnsi="Arial" w:cs="Arial"/>
          <w:kern w:val="0"/>
          <w:szCs w:val="24"/>
          <w:lang w:eastAsia="es-ES"/>
        </w:rPr>
        <w:t xml:space="preserve"> Instituciones educativas. Institución educativa es un conjunto de personas y bienes promovida por las autoridades públicas o por particulares, cuya finalidad será prestar un año de educación preescolar y nueve grados de educación básica como mínimo, y la media. Las que no ofrecen la totalidad de dichos grados se denominarán centros educativos y deberán asociarse con otras instituciones con el fin de ofrecer el ciclo de educación básica completa a los estudiantes.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Deberán contar con licencia de funcionamiento o reconocimiento de carácter oficial, disponer de la infraestructura administrativa, soportes pedagógicos, planta física y medios educativos adecuados.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instituciones educativas combinarán los recursos para brindar una educación de calidad, la evaluación permanente, el mejoramiento continuo del servicio educativo y los resultados del aprendizaje, en el marco de su Programa Educativo Institucional.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instituciones educativas estatales son departamentales, distritales o municipales.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Por motivos de utilidad pública o interés social, las instituciones educativas departamentales que funcionen en los distritos o municipios certificados serán administradas por los distritos y municipios certificados. Por iguales motivos se podrán expropiar bienes inmuebles educativos, de conformidad con la Constitución y la ley. Durante el traspaso de la administración deberá garantizarse la continuidad en la prestación del servicio educativo. Para el perfeccionamiento de lo anterior se suscribirá un convenio interadministrativo entre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Las deudas por servicios públicos de las instituciones educativas cuya administración se traspase de los departamentos a los distritos y municipios certificados, causadas con anterioridad a la fecha del traspaso, serán pagadas por los departamentos.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3°</w:t>
      </w:r>
      <w:r w:rsidRPr="00A524F8">
        <w:rPr>
          <w:rFonts w:ascii="Arial" w:eastAsia="Times New Roman" w:hAnsi="Arial" w:cs="Arial"/>
          <w:kern w:val="0"/>
          <w:szCs w:val="24"/>
          <w:lang w:eastAsia="es-ES"/>
        </w:rPr>
        <w:t>. Los Establecimientos Públicos educativos del orden nacional que funcionan con recursos del presupuesto nacional, serán traspasados con los recursos a las respectivas entidades territoriales, conservando su autonomía administrativa.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4°</w:t>
      </w:r>
      <w:r w:rsidRPr="00A524F8">
        <w:rPr>
          <w:rFonts w:ascii="Arial" w:eastAsia="Times New Roman" w:hAnsi="Arial" w:cs="Arial"/>
          <w:kern w:val="0"/>
          <w:szCs w:val="24"/>
          <w:lang w:eastAsia="es-ES"/>
        </w:rPr>
        <w:t>. Habrá una sola administración cuando en una misma planta física operen más de una jornada. También podrá designarse una sola administración para varias plantas físicas, de conformidad con el reglamento.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w:t>
      </w:r>
      <w:r w:rsidRPr="00A524F8">
        <w:rPr>
          <w:rFonts w:ascii="Arial" w:eastAsia="Times New Roman" w:hAnsi="Arial" w:cs="Arial"/>
          <w:kern w:val="0"/>
          <w:szCs w:val="24"/>
          <w:lang w:eastAsia="es-ES"/>
        </w:rPr>
        <w:t xml:space="preserve"> Funciones de Rectores o Directores. El rector o director de las instituciones educativas públicas, que serán designados por concurso, además de las funciones señaladas en otras normas, tendrá las siguientes: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10.1. Dirigir la preparación del Proyecto Educativo Institucional con la participación de los distintos actores de la comunidad educativa.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10.2. Presidir el Consejo Directivo y el Consejo Académico de la institución y coordinar los distintos órganos del Gobierno Escolar.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10.3. Representar el establecimiento ante las autoridades educativas y la comunidad escolar.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10.4. Formular planes anuales de acción y de mejoramiento de calidad, y dirigir su ejecución.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10.5. Dirigir el trabajo de los equipos docentes y establecer contactos interinstitucionales para el logro de las metas educativas.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10.6. Realizar el control sobre el cumplimiento de las funciones correspondientes al personal docente y administrativo y reportar las novedades e irregularidades del personal a la secretaría de educación distrital, municipal, departamental o quien haga sus veces.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10.7. Administrar el personal asignado a la institución en lo relacionado con las novedades y los permisos.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10.8. Participar en la definición de perfiles para la selección del personal docente, y en su selección definitiva.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10.9. Distribuir las asignaciones académicas, y demás funciones de docentes, directivos docentes y administrativos a su cargo, de conformidad con las normas sobre la materia.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10.10. Realizar la evaluación anual del desempeño de los docentes, directivos docentes y administrativos a su cargo.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10.11. Imponer las sanciones disciplinarias propias del sistema de control interno disciplinario de conformidad con las normas vigentes.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10.12. Proponer a los docentes que serán apoyados para recibir capacitación.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10.13. Suministrar información oportuna al departamento, distrito o municipio, de acuerdo con sus requerimientos.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10.14. Responder por la calidad de la prestación del servicio en su institución.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10.15. Rendir un informe al Consejo Directivo de la Institución Educativa al menos cada seis meses.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10.16. Administrar el Fondo de Servicios Educativos y los recursos que por incentivos se le asignen, en los términos de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10.17. Publicar una vez al semestre en lugares públicos y comunicar por escrito a los padres de familia, los docentes a cargo de cada asignatura, los horarios y la carga docente de cada uno de ellos.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10.18. Las demás que le asigne el gobernador o alcalde para la correcta prestación del servicio educativo.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w:t>
      </w:r>
      <w:bookmarkStart w:id="9" w:name="10-1"/>
      <w:r w:rsidRPr="00A524F8">
        <w:rPr>
          <w:rFonts w:ascii="Arial" w:eastAsia="Times New Roman" w:hAnsi="Arial" w:cs="Arial"/>
          <w:b/>
          <w:bCs/>
          <w:kern w:val="0"/>
          <w:szCs w:val="24"/>
          <w:lang w:eastAsia="es-ES"/>
        </w:rPr>
        <w:t> </w:t>
      </w:r>
      <w:bookmarkEnd w:id="9"/>
      <w:r w:rsidRPr="00A524F8">
        <w:rPr>
          <w:rFonts w:ascii="Arial" w:eastAsia="Times New Roman" w:hAnsi="Arial" w:cs="Arial"/>
          <w:b/>
          <w:bCs/>
          <w:kern w:val="0"/>
          <w:szCs w:val="24"/>
          <w:lang w:eastAsia="es-ES"/>
        </w:rPr>
        <w:t>1°</w:t>
      </w:r>
      <w:r w:rsidRPr="00A524F8">
        <w:rPr>
          <w:rFonts w:ascii="Arial" w:eastAsia="Times New Roman" w:hAnsi="Arial" w:cs="Arial"/>
          <w:kern w:val="0"/>
          <w:szCs w:val="24"/>
          <w:lang w:eastAsia="es-ES"/>
        </w:rPr>
        <w:t xml:space="preserve">. El desempeño de los rectores y directores será evaluado anualmente por el departamento, distrito o municipio, </w:t>
      </w:r>
      <w:r w:rsidRPr="00A524F8">
        <w:rPr>
          <w:rFonts w:ascii="Arial" w:eastAsia="Times New Roman" w:hAnsi="Arial" w:cs="Arial"/>
          <w:kern w:val="0"/>
          <w:szCs w:val="24"/>
          <w:u w:val="single"/>
          <w:lang w:eastAsia="es-ES"/>
        </w:rPr>
        <w:t>atendiendo el reglamento que para tal fin expida el Gobierno Nacional</w:t>
      </w:r>
      <w:r w:rsidRPr="00A524F8">
        <w:rPr>
          <w:rFonts w:ascii="Arial" w:eastAsia="Times New Roman" w:hAnsi="Arial" w:cs="Arial"/>
          <w:kern w:val="0"/>
          <w:szCs w:val="24"/>
          <w:lang w:eastAsia="es-ES"/>
        </w:rPr>
        <w:t>. La no aprobación de la evaluación en dos años consecutivos implica el retiro del cargo y el regreso al ejercicio de la docencia en el grado y con la asignación salarial que le corresponda en el escalafón. </w:t>
      </w:r>
      <w:r w:rsidRPr="00A524F8">
        <w:rPr>
          <w:rFonts w:ascii="Arial" w:eastAsia="Times New Roman" w:hAnsi="Arial" w:cs="Arial"/>
          <w:b/>
          <w:bCs/>
          <w:kern w:val="0"/>
          <w:szCs w:val="24"/>
          <w:lang w:eastAsia="es-ES"/>
        </w:rPr>
        <w:t xml:space="preserve">Texto subrayado declarado INEXEQUIBLE por la Corte Constitucional mediante </w:t>
      </w:r>
      <w:hyperlink r:id="rId34" w:anchor="0" w:history="1">
        <w:r w:rsidRPr="00A524F8">
          <w:rPr>
            <w:rFonts w:ascii="Arial" w:eastAsia="Times New Roman" w:hAnsi="Arial" w:cs="Arial"/>
            <w:color w:val="0000FF"/>
            <w:kern w:val="0"/>
            <w:szCs w:val="24"/>
            <w:u w:val="single"/>
            <w:lang w:eastAsia="es-ES"/>
          </w:rPr>
          <w:t>Sentencia C-723 de 2004</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0" w:name="11"/>
      <w:r w:rsidRPr="00A524F8">
        <w:rPr>
          <w:rFonts w:ascii="Arial" w:eastAsia="Times New Roman" w:hAnsi="Arial" w:cs="Arial"/>
          <w:b/>
          <w:bCs/>
          <w:kern w:val="0"/>
          <w:szCs w:val="24"/>
          <w:lang w:eastAsia="es-ES"/>
        </w:rPr>
        <w:t> </w:t>
      </w:r>
      <w:bookmarkEnd w:id="10"/>
      <w:r w:rsidRPr="00A524F8">
        <w:rPr>
          <w:rFonts w:ascii="Arial" w:eastAsia="Times New Roman" w:hAnsi="Arial" w:cs="Arial"/>
          <w:b/>
          <w:bCs/>
          <w:kern w:val="0"/>
          <w:szCs w:val="24"/>
          <w:lang w:eastAsia="es-ES"/>
        </w:rPr>
        <w:t>11.</w:t>
      </w:r>
      <w:r w:rsidRPr="00A524F8">
        <w:rPr>
          <w:rFonts w:ascii="Arial" w:eastAsia="Times New Roman" w:hAnsi="Arial" w:cs="Arial"/>
          <w:kern w:val="0"/>
          <w:szCs w:val="24"/>
          <w:lang w:eastAsia="es-ES"/>
        </w:rPr>
        <w:t>  </w:t>
      </w:r>
      <w:hyperlink r:id="rId35" w:anchor="0" w:history="1">
        <w:r w:rsidRPr="00A524F8">
          <w:rPr>
            <w:rFonts w:ascii="Arial" w:eastAsia="Times New Roman" w:hAnsi="Arial" w:cs="Arial"/>
            <w:color w:val="0000FF"/>
            <w:kern w:val="0"/>
            <w:szCs w:val="24"/>
            <w:u w:val="single"/>
            <w:lang w:eastAsia="es-ES"/>
          </w:rPr>
          <w:t>Reglamentado parcialmente por el Decreto Nacional 4791 de 2008</w:t>
        </w:r>
      </w:hyperlink>
      <w:r w:rsidRPr="00A524F8">
        <w:rPr>
          <w:rFonts w:ascii="Arial" w:eastAsia="Times New Roman" w:hAnsi="Arial" w:cs="Arial"/>
          <w:kern w:val="0"/>
          <w:szCs w:val="24"/>
          <w:lang w:eastAsia="es-ES"/>
        </w:rPr>
        <w:t xml:space="preserve">. Fondos de Servicios Educativos. Las instituciones educativas estatales podrán administrar Fondos de Servicios Educativos en los cuales se manejarán los recursos destinados a financiar gastos distintos a los de personal, que faciliten el funcionamiento de la institución. </w:t>
      </w:r>
      <w:hyperlink r:id="rId36" w:anchor="1" w:history="1">
        <w:r w:rsidRPr="00A524F8">
          <w:rPr>
            <w:rFonts w:ascii="Arial" w:eastAsia="Times New Roman" w:hAnsi="Arial" w:cs="Arial"/>
            <w:color w:val="0000FF"/>
            <w:kern w:val="0"/>
            <w:szCs w:val="24"/>
            <w:u w:val="single"/>
            <w:lang w:eastAsia="es-ES"/>
          </w:rPr>
          <w:t>Reglamentado por el Decreto Nacional 992 de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1" w:name="12"/>
      <w:r w:rsidRPr="00A524F8">
        <w:rPr>
          <w:rFonts w:ascii="Arial" w:eastAsia="Times New Roman" w:hAnsi="Arial" w:cs="Arial"/>
          <w:b/>
          <w:bCs/>
          <w:kern w:val="0"/>
          <w:szCs w:val="24"/>
          <w:lang w:eastAsia="es-ES"/>
        </w:rPr>
        <w:t> </w:t>
      </w:r>
      <w:bookmarkEnd w:id="11"/>
      <w:r w:rsidRPr="00A524F8">
        <w:rPr>
          <w:rFonts w:ascii="Arial" w:eastAsia="Times New Roman" w:hAnsi="Arial" w:cs="Arial"/>
          <w:b/>
          <w:bCs/>
          <w:kern w:val="0"/>
          <w:szCs w:val="24"/>
          <w:lang w:eastAsia="es-ES"/>
        </w:rPr>
        <w:t>12.</w:t>
      </w:r>
      <w:r w:rsidRPr="00A524F8">
        <w:rPr>
          <w:rFonts w:ascii="Arial" w:eastAsia="Times New Roman" w:hAnsi="Arial" w:cs="Arial"/>
          <w:kern w:val="0"/>
          <w:szCs w:val="24"/>
          <w:lang w:eastAsia="es-ES"/>
        </w:rPr>
        <w:t xml:space="preserve"> </w:t>
      </w:r>
      <w:hyperlink r:id="rId37" w:anchor="1" w:history="1">
        <w:r w:rsidRPr="00A524F8">
          <w:rPr>
            <w:rFonts w:ascii="Arial" w:eastAsia="Times New Roman" w:hAnsi="Arial" w:cs="Arial"/>
            <w:color w:val="0000FF"/>
            <w:kern w:val="0"/>
            <w:szCs w:val="24"/>
            <w:u w:val="single"/>
            <w:lang w:eastAsia="es-ES"/>
          </w:rPr>
          <w:t>Reglamentado por el Decreto Nacional 992 de 2002</w:t>
        </w:r>
      </w:hyperlink>
      <w:r w:rsidRPr="00A524F8">
        <w:rPr>
          <w:rFonts w:ascii="Arial" w:eastAsia="Times New Roman" w:hAnsi="Arial" w:cs="Arial"/>
          <w:kern w:val="0"/>
          <w:szCs w:val="24"/>
          <w:lang w:eastAsia="es-ES"/>
        </w:rPr>
        <w:t xml:space="preserve">, </w:t>
      </w:r>
      <w:hyperlink r:id="rId38" w:anchor="0" w:history="1">
        <w:r w:rsidRPr="00A524F8">
          <w:rPr>
            <w:rFonts w:ascii="Arial" w:eastAsia="Times New Roman" w:hAnsi="Arial" w:cs="Arial"/>
            <w:color w:val="0000FF"/>
            <w:kern w:val="0"/>
            <w:szCs w:val="24"/>
            <w:u w:val="single"/>
            <w:lang w:eastAsia="es-ES"/>
          </w:rPr>
          <w:t>Reglamentado parcialmente por el Decreto Nacional 4791 de 2008</w:t>
        </w:r>
      </w:hyperlink>
      <w:r w:rsidRPr="00A524F8">
        <w:rPr>
          <w:rFonts w:ascii="Arial" w:eastAsia="Times New Roman" w:hAnsi="Arial" w:cs="Arial"/>
          <w:kern w:val="0"/>
          <w:szCs w:val="24"/>
          <w:lang w:eastAsia="es-ES"/>
        </w:rPr>
        <w:t>. Definición de los Fondos de Servicios Educativos. Las entidades estatales que tengan a su cargo establecimientos educativos deben abrir en su contabilidad una cuenta para cada uno de ellos, con el propósito de dar certidumbre a los Consejos Directivos acerca de los ingresos que pueden esperar, y facilitarles que ejerzan, con los rectores o directores, la capacidad de orientar el gasto en la forma que mejor cumpla los propósitos del servicio educativo dentro de las circunstancias propias de cada establecimiento. Esa cuenta se denomina "Fondo de Servicios Educativos".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reglamentos, teniendo en cuenta las diferencias entre los establecimientos urbanos y entre estos y los rurales, dirán qué tipo de ingresos, gastos y bienes pueden manejarse a través de tal cuenta; y en dónde y cómo se mantendrán los bienes que se registren en ella, ciñéndose a la Ley Orgánica del Presupuesto y a esta Ley, en cuanto sean pertinentes.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reglamentos aludidos atrás distinguirán entre los ingresos que las entidades estatales destinen al servicio educativo en cada establecimiento, los que los particulares vinculen por la percepción de servicios, y los que vinculen con el propósito principal o exclusivo de beneficiar a la comunidad. Todos esos ingresos pueden registrarse en las cuentas de los Fondos, en las condiciones que determine el reglamento.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2" w:name="13"/>
      <w:r w:rsidRPr="00A524F8">
        <w:rPr>
          <w:rFonts w:ascii="Arial" w:eastAsia="Times New Roman" w:hAnsi="Arial" w:cs="Arial"/>
          <w:b/>
          <w:bCs/>
          <w:kern w:val="0"/>
          <w:szCs w:val="24"/>
          <w:lang w:eastAsia="es-ES"/>
        </w:rPr>
        <w:t> </w:t>
      </w:r>
      <w:bookmarkEnd w:id="12"/>
      <w:r w:rsidRPr="00A524F8">
        <w:rPr>
          <w:rFonts w:ascii="Arial" w:eastAsia="Times New Roman" w:hAnsi="Arial" w:cs="Arial"/>
          <w:b/>
          <w:bCs/>
          <w:kern w:val="0"/>
          <w:szCs w:val="24"/>
          <w:lang w:eastAsia="es-ES"/>
        </w:rPr>
        <w:t>13.</w:t>
      </w:r>
      <w:r w:rsidRPr="00A524F8">
        <w:rPr>
          <w:rFonts w:ascii="Arial" w:eastAsia="Times New Roman" w:hAnsi="Arial" w:cs="Arial"/>
          <w:kern w:val="0"/>
          <w:szCs w:val="24"/>
          <w:lang w:eastAsia="es-ES"/>
        </w:rPr>
        <w:t xml:space="preserve"> </w:t>
      </w:r>
      <w:hyperlink r:id="rId39" w:anchor="1" w:history="1">
        <w:r w:rsidRPr="00A524F8">
          <w:rPr>
            <w:rFonts w:ascii="Arial" w:eastAsia="Times New Roman" w:hAnsi="Arial" w:cs="Arial"/>
            <w:color w:val="0000FF"/>
            <w:kern w:val="0"/>
            <w:szCs w:val="24"/>
            <w:u w:val="single"/>
            <w:lang w:eastAsia="es-ES"/>
          </w:rPr>
          <w:t>Reglamentado por el Decreto Nacional 992 de 2002</w:t>
        </w:r>
      </w:hyperlink>
      <w:r w:rsidRPr="00A524F8">
        <w:rPr>
          <w:rFonts w:ascii="Arial" w:eastAsia="Times New Roman" w:hAnsi="Arial" w:cs="Arial"/>
          <w:kern w:val="0"/>
          <w:szCs w:val="24"/>
          <w:lang w:eastAsia="es-ES"/>
        </w:rPr>
        <w:t xml:space="preserve">, </w:t>
      </w:r>
      <w:hyperlink r:id="rId40" w:anchor="0" w:history="1">
        <w:r w:rsidRPr="00A524F8">
          <w:rPr>
            <w:rFonts w:ascii="Arial" w:eastAsia="Times New Roman" w:hAnsi="Arial" w:cs="Arial"/>
            <w:color w:val="0000FF"/>
            <w:kern w:val="0"/>
            <w:szCs w:val="24"/>
            <w:u w:val="single"/>
            <w:lang w:eastAsia="es-ES"/>
          </w:rPr>
          <w:t>Reglamentado parcialmente por el Decreto Nacional 4791 de 2008</w:t>
        </w:r>
      </w:hyperlink>
      <w:r w:rsidRPr="00A524F8">
        <w:rPr>
          <w:rFonts w:ascii="Arial" w:eastAsia="Times New Roman" w:hAnsi="Arial" w:cs="Arial"/>
          <w:kern w:val="0"/>
          <w:szCs w:val="24"/>
          <w:lang w:eastAsia="es-ES"/>
        </w:rPr>
        <w:t xml:space="preserve">. Procedimientos de contratación de los Fondos de Servicios Educativos. Todos los actos y contratos que tengan por objeto bienes y obligaciones que hayan de </w:t>
      </w:r>
      <w:r w:rsidRPr="00A524F8">
        <w:rPr>
          <w:rFonts w:ascii="Arial" w:eastAsia="Times New Roman" w:hAnsi="Arial" w:cs="Arial"/>
          <w:kern w:val="0"/>
          <w:szCs w:val="24"/>
          <w:lang w:eastAsia="es-ES"/>
        </w:rPr>
        <w:lastRenderedPageBreak/>
        <w:t>registrarse en la contabilidad de los Fondos de servicios educativos a los que se refiere el artículo anterior, se harán respetando los principios de igualdad, moralidad, imparcialidad y publicidad, aplicados en forma razonable a las circunstancias concretas en las que hayan de celebrarse. Se harán con el propósito fundamental de proteger los derechos de los niños y de los jóvenes, y de conseguir eficacia y celeridad en la atención del servicio educativo, y economía en el uso de los recursos públicos.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actos y contratos de cuantía superior a veinte (20) salarios mínimos mensuales se regirán por las reglas de la contratación estatal, teniendo en cuenta su valor y naturaleza, y las circunstancias en las que se celebren. El Gobierno Nacional podrá indicar los casos en los cuales la cuantía señalada en el presente inciso será menor.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rector o director celebrará los contratos que hayan de pagarse con cargo a los recursos vinculados a los Fondos, en las condiciones y dentro de los límites que fijen los reglamentos.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Con estricta sujeción a los principios y propósitos enunciados en el primer inciso de este artículo, y a los reglamentos de esta Ley, el Consejo Directivo de cada establecimiento podrá señalar, con base en la experiencia y en el análisis concreto de las necesidades del establecimiento, los trámites, garantías y constancias que deben cumplirse para que el rector o director celebre cualquier acto o contrato que cree, extinga o modifique obligaciones que deban registrarse en el Fondo, y cuya cuantía sea inferior a veinte (20) salarios mínimos mensuales. El Consejo puede exigir, además, que ciertos actos o contratos requieran una autorización suya específica.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Habrá siempre información pública sobre las cuentas del Fondo en las condiciones que determine el reglamento. La omisión en los deberes de información será falta grave disciplinaria para quien incurra en ella.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ningún caso el distrito o municipio propietario del establecimiento responderá por actos o contratos celebrados en contravención de los límites enunciados en las normas que se refieren al Fondo; las obligaciones resultantes serán de cargo del rector o director, o de los miembros del Consejo Directivo si las hubieren autorizado.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Ninguna otra norma de la Ley 80 de 1993 será aplicable a los actos y contratos de cuantía inferior a veinte (20) salarios mínimos mensuales que hayan de vincularse a las cuentas de los Fondos.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3" w:name="14"/>
      <w:r w:rsidRPr="00A524F8">
        <w:rPr>
          <w:rFonts w:ascii="Arial" w:eastAsia="Times New Roman" w:hAnsi="Arial" w:cs="Arial"/>
          <w:b/>
          <w:bCs/>
          <w:kern w:val="0"/>
          <w:szCs w:val="24"/>
          <w:lang w:eastAsia="es-ES"/>
        </w:rPr>
        <w:t> </w:t>
      </w:r>
      <w:bookmarkEnd w:id="13"/>
      <w:r w:rsidRPr="00A524F8">
        <w:rPr>
          <w:rFonts w:ascii="Arial" w:eastAsia="Times New Roman" w:hAnsi="Arial" w:cs="Arial"/>
          <w:b/>
          <w:bCs/>
          <w:kern w:val="0"/>
          <w:szCs w:val="24"/>
          <w:lang w:eastAsia="es-ES"/>
        </w:rPr>
        <w:t>14.</w:t>
      </w:r>
      <w:r w:rsidRPr="00A524F8">
        <w:rPr>
          <w:rFonts w:ascii="Arial" w:eastAsia="Times New Roman" w:hAnsi="Arial" w:cs="Arial"/>
          <w:kern w:val="0"/>
          <w:szCs w:val="24"/>
          <w:lang w:eastAsia="es-ES"/>
        </w:rPr>
        <w:t xml:space="preserve"> </w:t>
      </w:r>
      <w:hyperlink r:id="rId41" w:anchor="1" w:history="1">
        <w:r w:rsidRPr="00A524F8">
          <w:rPr>
            <w:rFonts w:ascii="Arial" w:eastAsia="Times New Roman" w:hAnsi="Arial" w:cs="Arial"/>
            <w:color w:val="0000FF"/>
            <w:kern w:val="0"/>
            <w:szCs w:val="24"/>
            <w:u w:val="single"/>
            <w:lang w:eastAsia="es-ES"/>
          </w:rPr>
          <w:t>Reglamentado por el Decreto Nacional 992 de 2002</w:t>
        </w:r>
      </w:hyperlink>
      <w:r w:rsidRPr="00A524F8">
        <w:rPr>
          <w:rFonts w:ascii="Arial" w:eastAsia="Times New Roman" w:hAnsi="Arial" w:cs="Arial"/>
          <w:kern w:val="0"/>
          <w:szCs w:val="24"/>
          <w:lang w:eastAsia="es-ES"/>
        </w:rPr>
        <w:t xml:space="preserve">, </w:t>
      </w:r>
      <w:hyperlink r:id="rId42" w:anchor="0" w:history="1">
        <w:r w:rsidRPr="00A524F8">
          <w:rPr>
            <w:rFonts w:ascii="Arial" w:eastAsia="Times New Roman" w:hAnsi="Arial" w:cs="Arial"/>
            <w:color w:val="0000FF"/>
            <w:kern w:val="0"/>
            <w:szCs w:val="24"/>
            <w:u w:val="single"/>
            <w:lang w:eastAsia="es-ES"/>
          </w:rPr>
          <w:t>Reglamentado parcialmente por el Decreto Nacional 4791 de 2008</w:t>
        </w:r>
      </w:hyperlink>
      <w:r w:rsidRPr="00A524F8">
        <w:rPr>
          <w:rFonts w:ascii="Arial" w:eastAsia="Times New Roman" w:hAnsi="Arial" w:cs="Arial"/>
          <w:kern w:val="0"/>
          <w:szCs w:val="24"/>
          <w:lang w:eastAsia="es-ES"/>
        </w:rPr>
        <w:t>. Manejo Presupuestal de los Fondos de Servicios Educativos. Las entidades territoriales incluirán en sus respectivos presupuestos, apropiaciones para cada Fondo de servicios educativos en los establecimientos educativos a su cargo, tanto de la participación para educación como de recursos propios.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En los ingresos sometidos a aforo presupuestal no se incluirán los que sean obtenidos por convenios con particulares, premios, donaciones u otros, cuyo principal propósito sea el de beneficiar a la comunidad educativa. Los reglamentos incluirán las disposiciones necesarias para que los particulares que quieran vincular bienes o servicios para provecho de la comunidad en los establecimientos educativos estatales, puedan hacerlo previo contrato autorizado por el Consejo Directivo y celebrado por el rector en el que la entidad a cargo del establecimiento se comprometa a que esos bienes se usarán en la forma pactada, sin transferencia de propiedad cuando el contrato no la haya previsto, y de acuerdo con las reglas del Código Civil. Si la entidad encargada del establecimiento adquiere obligaciones pecuniarias en virtud de tales contratos, éstas deben ser de tal clase que se puedan cumplir en todo dentro de las reglas propias de los gastos de los Fondos.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entidades propietarias de establecimientos educativos podrán incluir en sus presupuestos apropiaciones relacionadas con ellos, que no hayan de manejarse a través de los fondos de servicios educativos.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reglamentos determinarán cómo y a quién se harán los giros destinados a atender los gastos de los fondos de servicios educativos; y cómo se rendirán cuentas de los recursos respectivos.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El Consejo Directivo en cada establecimiento elaborará un presupuesto de ingresos y gastos para el Fondo, en absoluto equilibrio. El Consejo Directivo no podrá aumentar el presupuesto de ingresos sin autorización del Distrito o Municipio al que pertenece el establecimiento.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Ley orgánica de presupuesto se aplicará a los presupuestos que elaboren los Consejos Directivos para los Fondos de servicios educativos, y a su ejecución, solo cuando se refiera a ellos en forma directa.</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IV</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Distribución de recursos del sector educativo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15.</w:t>
      </w:r>
      <w:r w:rsidRPr="00A524F8">
        <w:rPr>
          <w:rFonts w:ascii="Arial" w:eastAsia="Times New Roman" w:hAnsi="Arial" w:cs="Arial"/>
          <w:kern w:val="0"/>
          <w:szCs w:val="24"/>
          <w:lang w:eastAsia="es-ES"/>
        </w:rPr>
        <w:t xml:space="preserve"> Destinación. Los recursos de la participación para educación del Sistema General de Participaciones se destinarán a financiar la prestación del servicio educativo atendiendo los estándares técnicos y administrativos, en las siguientes actividades: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15.1. Pago del personal docente y administrativo de las instituciones educativas públicas, las contribuciones inherentes a la nómina y sus prestaciones sociales.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15.2. Construcción de la infraestructura, mantenimiento, pago de servicios públicos y funcionamiento de las instituciones educativas.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15.3. Provisión de la canasta educativa.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15.4. Las destinadas a mantener, evaluar y promover la calidad educativa.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Parágrafo 1°</w:t>
      </w:r>
      <w:r w:rsidRPr="00A524F8">
        <w:rPr>
          <w:rFonts w:ascii="Arial" w:eastAsia="Times New Roman" w:hAnsi="Arial" w:cs="Arial"/>
          <w:kern w:val="0"/>
          <w:szCs w:val="24"/>
          <w:lang w:eastAsia="es-ES"/>
        </w:rPr>
        <w:t>. También se podrán destinar estos recursos a la contratación del servicio educativo de conformidad con lo establecido en el artículo 27 de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Una vez cubiertos los costos de la prestación del servicio educativo, los departamentos, distritos y municipios destinarán recursos de la participación en educación al pago de transporte escolar cuando las condiciones geográficas lo requieran para garantizar el acceso y la permanencia en el sistema educativo de niños pertenecientes a los estratos más pobres.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 xml:space="preserve">Parágrafo 3° Transitorio. </w:t>
      </w:r>
      <w:r w:rsidRPr="00A524F8">
        <w:rPr>
          <w:rFonts w:ascii="Arial" w:eastAsia="Times New Roman" w:hAnsi="Arial" w:cs="Arial"/>
          <w:kern w:val="0"/>
          <w:szCs w:val="24"/>
          <w:lang w:eastAsia="es-ES"/>
        </w:rPr>
        <w:t xml:space="preserve">. </w:t>
      </w:r>
      <w:hyperlink r:id="rId43" w:anchor="1" w:history="1">
        <w:r w:rsidRPr="00A524F8">
          <w:rPr>
            <w:rFonts w:ascii="Arial" w:eastAsia="Times New Roman" w:hAnsi="Arial" w:cs="Arial"/>
            <w:color w:val="0000FF"/>
            <w:kern w:val="0"/>
            <w:szCs w:val="24"/>
            <w:u w:val="single"/>
            <w:lang w:eastAsia="es-ES"/>
          </w:rPr>
          <w:t>Reglamentado por el Decreto Nacional 3191 de 2002</w:t>
        </w:r>
      </w:hyperlink>
      <w:r w:rsidRPr="00A524F8">
        <w:rPr>
          <w:rFonts w:ascii="Arial" w:eastAsia="Times New Roman" w:hAnsi="Arial" w:cs="Arial"/>
          <w:kern w:val="0"/>
          <w:szCs w:val="24"/>
          <w:lang w:eastAsia="es-ES"/>
        </w:rPr>
        <w:t xml:space="preserve"> Con cargo a los recursos de la participación para educación del Sistema General de Participaciones, se financiará por una sola vez el faltante establecido para el cubrimiento de los costos de nómina de los docentes de los departamentos y de los convenios de cobertura educativa a diciembre 31 de 2001, siempre y cuando los recursos propios de los respectivos departamentos hayan sido insuficientes para cumplir con estas obligaciones. Para ello deberán someterse a planes de racionalización educativa y presentar para validación del Ministerio de Educación, información sobre el déficit a financiar. El giro de los recursos se hará inmediatamente se haya recibido la información respectiva.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16.</w:t>
      </w:r>
      <w:r w:rsidRPr="00A524F8">
        <w:rPr>
          <w:rFonts w:ascii="Arial" w:eastAsia="Times New Roman" w:hAnsi="Arial" w:cs="Arial"/>
          <w:kern w:val="0"/>
          <w:szCs w:val="24"/>
          <w:lang w:eastAsia="es-ES"/>
        </w:rPr>
        <w:t xml:space="preserve"> Criterios de distribución. La participación para educación del Sistema General de Participaciones será distribuida por municipios y distritos atendiendo los criterios que se señalan a continuación. En el caso de municipios no certificados los recursos serán administrados por el respectivo Departamento.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16.1. Población atendida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16.1.1. Anualmente se determinará la asignación por alumno, de acuerdo con las diferentes tipologías educativas que definirá la Nación, atendiendo, los niveles educativos (preescolar, básica y media en sus diferentes modalidades) y las zonas urbana y rural, para todo el territorio nacional.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Se entiende por tipología un conjunto de variables que caracterizan la prestación del servicio educativo en los niveles de preescolar, básica y media, de acuerdo con metodologías diferenciadas por zona rural y urbana. Dentro de una misma tipología la asignación será la misma para todos los estudiantes del país.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tipologías que se apliquen a los departamentos creados por la Constitución de 1991, deberán reconocer sus especiales condiciones para la prestación del servicio público de educación, incluida la dispersión poblacional.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La asignación por alumno en condiciones de equidad y eficiencia según niveles educativos (preescolar, básica y media en sus diferentes modalidades) y zona (urbana y rural) del sector educativo financiado con recursos públicos, está conformado, como mínimo por: los costos del personal docente y administrativo </w:t>
      </w:r>
      <w:r w:rsidRPr="00A524F8">
        <w:rPr>
          <w:rFonts w:ascii="Arial" w:eastAsia="Times New Roman" w:hAnsi="Arial" w:cs="Arial"/>
          <w:kern w:val="0"/>
          <w:szCs w:val="24"/>
          <w:lang w:eastAsia="es-ES"/>
        </w:rPr>
        <w:lastRenderedPageBreak/>
        <w:t>requerido en las instituciones educativas incluidos los prestacionales, los recursos destinados a calidad de la educación que corresponden principalmente a dotaciones escolares, mantenimiento y adecuación de infraestructura, cuota de administración departamental, interventoría y sistemas de información.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Nación definirá la metodología para el cálculo de la asignación por alumno y anualmente fijará su valor atendiendo las diferentes tipologías, sujetándose a la disponibilidad de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16.1.2. La asignación por alumno se multiplicará por la población atendida con recursos del Sistema General de Participaciones en cada municipio y distrito. El resultado de dicha operación se denominará participación por población atendida, y constituye la primera base para el giro de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población atendida será la población efectivamente matriculada en el año anterior, financiada con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Cuando la Nación constate que debido a deficiencias de la información, una entidad territorial recibió más recursos de los que le correspondería de conformidad con la fórmula establecida en el presente artículo, su participación deberá reducirse hasta el monto que efectivamente le corresponda. Cuando esta circunstancia se presente, los recursos girados en exceso se deducirán de la asignación del año siguiente.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Después de determinar la participación por población atendida, el Conpes anualmente, previo análisis técnico, distribuirá el saldo de los recursos disponibles atendiendo alguno o algunos de los siguientes criterios.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16.2. </w:t>
      </w:r>
      <w:bookmarkStart w:id="14" w:name="16-2"/>
      <w:r w:rsidRPr="00A524F8">
        <w:rPr>
          <w:rFonts w:ascii="Arial" w:eastAsia="Times New Roman" w:hAnsi="Arial" w:cs="Arial"/>
          <w:kern w:val="0"/>
          <w:szCs w:val="24"/>
          <w:lang w:eastAsia="es-ES"/>
        </w:rPr>
        <w:t> </w:t>
      </w:r>
      <w:bookmarkEnd w:id="14"/>
      <w:r w:rsidRPr="00A524F8">
        <w:rPr>
          <w:rFonts w:ascii="Arial" w:eastAsia="Times New Roman" w:hAnsi="Arial" w:cs="Arial"/>
          <w:kern w:val="0"/>
          <w:szCs w:val="24"/>
          <w:lang w:eastAsia="es-ES"/>
        </w:rPr>
        <w:t>Población por atender en condiciones de eficiencia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w:t>
      </w:r>
      <w:hyperlink r:id="rId44" w:anchor="0" w:history="1">
        <w:r w:rsidRPr="00A524F8">
          <w:rPr>
            <w:rFonts w:ascii="Arial" w:eastAsia="Times New Roman" w:hAnsi="Arial" w:cs="Arial"/>
            <w:color w:val="0000FF"/>
            <w:kern w:val="0"/>
            <w:szCs w:val="24"/>
            <w:u w:val="single"/>
            <w:lang w:eastAsia="es-ES"/>
          </w:rPr>
          <w:t>Reglamentado por el Decreto Nacional 2833 de 2004</w:t>
        </w:r>
      </w:hyperlink>
      <w:r w:rsidRPr="00A524F8">
        <w:rPr>
          <w:rFonts w:ascii="Arial" w:eastAsia="Times New Roman" w:hAnsi="Arial" w:cs="Arial"/>
          <w:kern w:val="0"/>
          <w:szCs w:val="24"/>
          <w:lang w:eastAsia="es-ES"/>
        </w:rPr>
        <w:t>. A cada distrito o municipio se le podrá distribuir una suma residual que se calculará así: se toma un porcentaje del número de niños en edad de estudiar que no están siendo atendidos por instituciones oficiales y no estatales, y se multiplica por la asignación de niño por atender que se determine, dándoles prioridad a las entidades territoriales con menor cobertura o donde sea menor la oferta oficial, en condiciones de eficiencia. El Conpes determinará cada año el porcentaje de la población por atender que se propone ingrese al sistema educativo financiado con los recursos disponibles del Sistema General de Participaciones durante la siguiente vigencia fiscal.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asignación para cada niño por atender se calculará como un porcentaje de la asignación por niño atendido y será fijado anualmente por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Cuando la matrícula en educación en una entidad territorial sea del 100% de la población objetivo, ésta no tendrá derecho a recibir recursos adicionales por concepto de población por atender en condiciones de eficiencia. Igualmente, cuando la suma de los niños matriculados, más el resultado de la multiplicación </w:t>
      </w:r>
      <w:r w:rsidRPr="00A524F8">
        <w:rPr>
          <w:rFonts w:ascii="Arial" w:eastAsia="Times New Roman" w:hAnsi="Arial" w:cs="Arial"/>
          <w:kern w:val="0"/>
          <w:szCs w:val="24"/>
          <w:lang w:eastAsia="es-ES"/>
        </w:rPr>
        <w:lastRenderedPageBreak/>
        <w:t>del factor de población por atender que determine el Conpes por la población atendida, sea superior a la población objetivo (población en edad escolar), sólo se podrá transferir recursos para financiar hasta la población objetivo.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16.3. Equidad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 cada distrito o municipio se podrá distribuir una suma residual que se distribuirá de acuerdo con el indicador de pobreza certificado por el DANE.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45" w:anchor="0" w:history="1">
        <w:r w:rsidRPr="00A524F8">
          <w:rPr>
            <w:rFonts w:ascii="Arial" w:eastAsia="Times New Roman" w:hAnsi="Arial" w:cs="Arial"/>
            <w:color w:val="0000FF"/>
            <w:kern w:val="0"/>
            <w:szCs w:val="24"/>
            <w:u w:val="single"/>
            <w:lang w:eastAsia="es-ES"/>
          </w:rPr>
          <w:t>Ver la Directiva del Ministerio de Educación 15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5" w:name="17"/>
      <w:r w:rsidRPr="00A524F8">
        <w:rPr>
          <w:rFonts w:ascii="Arial" w:eastAsia="Times New Roman" w:hAnsi="Arial" w:cs="Arial"/>
          <w:b/>
          <w:bCs/>
          <w:kern w:val="0"/>
          <w:szCs w:val="24"/>
          <w:lang w:eastAsia="es-ES"/>
        </w:rPr>
        <w:t> </w:t>
      </w:r>
      <w:bookmarkEnd w:id="15"/>
      <w:r w:rsidRPr="00A524F8">
        <w:rPr>
          <w:rFonts w:ascii="Arial" w:eastAsia="Times New Roman" w:hAnsi="Arial" w:cs="Arial"/>
          <w:b/>
          <w:bCs/>
          <w:kern w:val="0"/>
          <w:szCs w:val="24"/>
          <w:lang w:eastAsia="es-ES"/>
        </w:rPr>
        <w:t>17.</w:t>
      </w:r>
      <w:r w:rsidRPr="00A524F8">
        <w:rPr>
          <w:rFonts w:ascii="Arial" w:eastAsia="Times New Roman" w:hAnsi="Arial" w:cs="Arial"/>
          <w:kern w:val="0"/>
          <w:szCs w:val="24"/>
          <w:lang w:eastAsia="es-ES"/>
        </w:rPr>
        <w:t xml:space="preserve"> Transferencia de los recursos. Los recursos de la participación de educación serán transferidos así:</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distritos y municipios certificados recibirán directamente los recursos de la participación para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de la participación para educación en los municipios no certificados y los corregimientos departamentales, serán transferidos al respectivo departamento.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de calidad serán girados directamente a los municipios y no podrán ser utilizados para gastos de personal de cualquier naturaleza.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Sobre la base del 100% del aforo que aparezca en la ley anual de presupuesto se determinará el programa anual de caja, en el cual se establecerán los giros mensuales correspondientes a la participación para educación a los departamentos, distritos o municipios. Los giros deberán efectuarse en los diez (10) primeros días del mes siguiente al que corresponde la transferencia, para tal efecto se aforará la participación para educación del Sistema General de participaciones en la ley anual de presupuesto, hasta por el monto que se girará en la respectiva vigencia. </w:t>
      </w:r>
      <w:hyperlink r:id="rId46" w:anchor="29" w:history="1">
        <w:r w:rsidRPr="00A524F8">
          <w:rPr>
            <w:rFonts w:ascii="Arial" w:eastAsia="Times New Roman" w:hAnsi="Arial" w:cs="Arial"/>
            <w:color w:val="0000FF"/>
            <w:kern w:val="0"/>
            <w:szCs w:val="24"/>
            <w:u w:val="single"/>
            <w:lang w:eastAsia="es-ES"/>
          </w:rPr>
          <w:t>Ver el art. 29, Ley 1176 de 2007</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6" w:name="18"/>
      <w:r w:rsidRPr="00A524F8">
        <w:rPr>
          <w:rFonts w:ascii="Arial" w:eastAsia="Times New Roman" w:hAnsi="Arial" w:cs="Arial"/>
          <w:b/>
          <w:bCs/>
          <w:kern w:val="0"/>
          <w:szCs w:val="24"/>
          <w:lang w:eastAsia="es-ES"/>
        </w:rPr>
        <w:t> </w:t>
      </w:r>
      <w:bookmarkEnd w:id="16"/>
      <w:r w:rsidRPr="00A524F8">
        <w:rPr>
          <w:rFonts w:ascii="Arial" w:eastAsia="Times New Roman" w:hAnsi="Arial" w:cs="Arial"/>
          <w:b/>
          <w:bCs/>
          <w:kern w:val="0"/>
          <w:szCs w:val="24"/>
          <w:lang w:eastAsia="es-ES"/>
        </w:rPr>
        <w:t>18.</w:t>
      </w:r>
      <w:r w:rsidRPr="00A524F8">
        <w:rPr>
          <w:rFonts w:ascii="Arial" w:eastAsia="Times New Roman" w:hAnsi="Arial" w:cs="Arial"/>
          <w:kern w:val="0"/>
          <w:szCs w:val="24"/>
          <w:lang w:eastAsia="es-ES"/>
        </w:rPr>
        <w:t>  </w:t>
      </w:r>
      <w:hyperlink r:id="rId47" w:anchor="0" w:history="1">
        <w:r w:rsidRPr="00A524F8">
          <w:rPr>
            <w:rFonts w:ascii="Arial" w:eastAsia="Times New Roman" w:hAnsi="Arial" w:cs="Arial"/>
            <w:color w:val="0000FF"/>
            <w:kern w:val="0"/>
            <w:szCs w:val="24"/>
            <w:u w:val="single"/>
            <w:lang w:eastAsia="es-ES"/>
          </w:rPr>
          <w:t>Reglamentado Parcialmente por el Decreto Nacional 3752 de 2003</w:t>
        </w:r>
      </w:hyperlink>
      <w:r w:rsidRPr="00A524F8">
        <w:rPr>
          <w:rFonts w:ascii="Arial" w:eastAsia="Times New Roman" w:hAnsi="Arial" w:cs="Arial"/>
          <w:kern w:val="0"/>
          <w:szCs w:val="24"/>
          <w:lang w:eastAsia="es-ES"/>
        </w:rPr>
        <w:t xml:space="preserve">. Administración de los recursos. Los departamentos, los distritos y los municipios certificados administrarán los recursos del Sistema General de Participaciones en cuentas especiales e independientes de los demás ingresos de las entidades territoriales. Estos dineros no harán unidad de caja con las demás rentas y recursos de la entidad territorial. Estos recursos, del sector educativo, </w:t>
      </w:r>
      <w:r w:rsidRPr="00A524F8">
        <w:rPr>
          <w:rFonts w:ascii="Arial" w:eastAsia="Times New Roman" w:hAnsi="Arial" w:cs="Arial"/>
          <w:kern w:val="0"/>
          <w:szCs w:val="24"/>
          <w:u w:val="single"/>
          <w:lang w:eastAsia="es-ES"/>
        </w:rPr>
        <w:t>no podrán ser objeto de embargo</w:t>
      </w:r>
      <w:r w:rsidRPr="00A524F8">
        <w:rPr>
          <w:rFonts w:ascii="Arial" w:eastAsia="Times New Roman" w:hAnsi="Arial" w:cs="Arial"/>
          <w:kern w:val="0"/>
          <w:szCs w:val="24"/>
          <w:lang w:eastAsia="es-ES"/>
        </w:rPr>
        <w:t>, pignoración, titularización o cualquier otra clase de disposición financiera. </w:t>
      </w:r>
      <w:r w:rsidRPr="00A524F8">
        <w:rPr>
          <w:rFonts w:ascii="Arial" w:eastAsia="Times New Roman" w:hAnsi="Arial" w:cs="Arial"/>
          <w:b/>
          <w:bCs/>
          <w:kern w:val="0"/>
          <w:szCs w:val="24"/>
          <w:lang w:eastAsia="es-ES"/>
        </w:rPr>
        <w:t xml:space="preserve">Texto Subrayado declarado EXEQUIBLE por la Corte Constitucional mediante </w:t>
      </w:r>
      <w:hyperlink r:id="rId48" w:anchor="0" w:history="1">
        <w:r w:rsidRPr="00A524F8">
          <w:rPr>
            <w:rFonts w:ascii="Arial" w:eastAsia="Times New Roman" w:hAnsi="Arial" w:cs="Arial"/>
            <w:color w:val="0000FF"/>
            <w:kern w:val="0"/>
            <w:szCs w:val="24"/>
            <w:u w:val="single"/>
            <w:lang w:eastAsia="es-ES"/>
          </w:rPr>
          <w:t>Sentencia C-793 de 2002</w:t>
        </w:r>
      </w:hyperlink>
      <w:r w:rsidRPr="00A524F8">
        <w:rPr>
          <w:rFonts w:ascii="Arial" w:eastAsia="Times New Roman" w:hAnsi="Arial" w:cs="Arial"/>
          <w:kern w:val="0"/>
          <w:szCs w:val="24"/>
          <w:lang w:eastAsia="es-ES"/>
        </w:rPr>
        <w:t xml:space="preserve">, </w:t>
      </w:r>
      <w:r w:rsidRPr="00A524F8">
        <w:rPr>
          <w:rFonts w:ascii="Arial" w:eastAsia="Times New Roman" w:hAnsi="Arial" w:cs="Arial"/>
          <w:b/>
          <w:bCs/>
          <w:kern w:val="0"/>
          <w:szCs w:val="24"/>
          <w:lang w:eastAsia="es-ES"/>
        </w:rPr>
        <w:t>en los términos de la parte motiva de la sentencia</w:t>
      </w:r>
      <w:r w:rsidRPr="00A524F8">
        <w:rPr>
          <w:rFonts w:ascii="Arial" w:eastAsia="Times New Roman" w:hAnsi="Arial" w:cs="Arial"/>
          <w:kern w:val="0"/>
          <w:szCs w:val="24"/>
          <w:lang w:eastAsia="es-ES"/>
        </w:rPr>
        <w:t>.</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xml:space="preserve">. Las sumas correspondientes a los aportes patronales y del afiliado, de seguridad social y parafiscales de las entidades territoriales por concepto del personal docente de las instituciones educativas estatales, se descontarán directamente de los recursos de la participación para educación del Sistema General de Participaciones. La Nación contará con un plazo no </w:t>
      </w:r>
      <w:r w:rsidRPr="00A524F8">
        <w:rPr>
          <w:rFonts w:ascii="Arial" w:eastAsia="Times New Roman" w:hAnsi="Arial" w:cs="Arial"/>
          <w:kern w:val="0"/>
          <w:szCs w:val="24"/>
          <w:lang w:eastAsia="es-ES"/>
        </w:rPr>
        <w:lastRenderedPageBreak/>
        <w:t>mayor de dos años para perfeccionar el proceso de descuentos, con la información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49" w:anchor="1" w:history="1">
        <w:r w:rsidRPr="00A524F8">
          <w:rPr>
            <w:rFonts w:ascii="Arial" w:eastAsia="Times New Roman" w:hAnsi="Arial" w:cs="Arial"/>
            <w:color w:val="0000FF"/>
            <w:kern w:val="0"/>
            <w:szCs w:val="24"/>
            <w:u w:val="single"/>
            <w:lang w:eastAsia="es-ES"/>
          </w:rPr>
          <w:t>Ver el Decreto 1796 de 1995</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Los recursos que correspondan al Fondo de Prestaciones Sociales del Magisterio, incluidos los del Fonpet, serán descontados directamente por parte del Ministerio de Hacienda y Crédito Público, y girados al Fondo.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3°</w:t>
      </w:r>
      <w:r w:rsidRPr="00A524F8">
        <w:rPr>
          <w:rFonts w:ascii="Arial" w:eastAsia="Times New Roman" w:hAnsi="Arial" w:cs="Arial"/>
          <w:kern w:val="0"/>
          <w:szCs w:val="24"/>
          <w:lang w:eastAsia="es-ES"/>
        </w:rPr>
        <w:t xml:space="preserve">. El porcentaje de la cesión del Impuesto a las Ventas asignado a las cajas departamentales de previsión y al Fondo Nacional de Prestaciones Sociales del Magisterio, con destino al pago definitivo de las cesantías y pensiones del personal docente nacionalizado, en virtud de la Ley 43 de 1975 y otras disposiciones, hace parte de la participación para educación del Sistema General de Participaciones y conserva su destinación. </w:t>
      </w:r>
      <w:hyperlink r:id="rId50" w:anchor="1" w:history="1">
        <w:r w:rsidRPr="00A524F8">
          <w:rPr>
            <w:rFonts w:ascii="Arial" w:eastAsia="Times New Roman" w:hAnsi="Arial" w:cs="Arial"/>
            <w:color w:val="0000FF"/>
            <w:kern w:val="0"/>
            <w:szCs w:val="24"/>
            <w:u w:val="single"/>
            <w:lang w:eastAsia="es-ES"/>
          </w:rPr>
          <w:t>Ver art. 8, Ley 43 de 1975</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4°</w:t>
      </w:r>
      <w:r w:rsidRPr="00A524F8">
        <w:rPr>
          <w:rFonts w:ascii="Arial" w:eastAsia="Times New Roman" w:hAnsi="Arial" w:cs="Arial"/>
          <w:kern w:val="0"/>
          <w:szCs w:val="24"/>
          <w:lang w:eastAsia="es-ES"/>
        </w:rPr>
        <w:t>. El valor del cálculo actuarial correspondiente a los docentes que se pagaban con recursos propios de las entidades territoriales, financiados y cofinanciados, así como de los establecimientos públicos que se hubieren afiliado al Fondo Nacional de Prestaciones Sociales del Magisterio, representará el saldo consolidado de la deuda de cada una de las entidades territoriales responsables. Para establecer el valor del saldo consolidado de la deuda se tendrán en cuenta los aportes y amortizaciones de deuda realizados por las entidades territoriales hasta la fecha de consolidación.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saldo consolidado de la deuda se pagará con los recursos que de conformidad con la presente ley se trasladen al Fondo Nacional de Pensiones de las Entidades Territoriales, Fonpet, para el pago del pasivo prestacional del sector educación. Para estos efectos el Fonpet realizará la transferencia correspondiente. En todo caso, una vez cancelado el saldo consolidado de la deuda los recursos trasladados al Fonpet conservarán su destinación al pago de obligaciones pensionales del sector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51" w:anchor="1" w:history="1">
        <w:r w:rsidRPr="00A524F8">
          <w:rPr>
            <w:rFonts w:ascii="Arial" w:eastAsia="Times New Roman" w:hAnsi="Arial" w:cs="Arial"/>
            <w:color w:val="0000FF"/>
            <w:kern w:val="0"/>
            <w:szCs w:val="24"/>
            <w:u w:val="single"/>
            <w:lang w:eastAsia="es-ES"/>
          </w:rPr>
          <w:t>Ver Sentencia Corte Constitucional 614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7" w:name="19"/>
      <w:r w:rsidRPr="00A524F8">
        <w:rPr>
          <w:rFonts w:ascii="Arial" w:eastAsia="Times New Roman" w:hAnsi="Arial" w:cs="Arial"/>
          <w:b/>
          <w:bCs/>
          <w:kern w:val="0"/>
          <w:szCs w:val="24"/>
          <w:lang w:eastAsia="es-ES"/>
        </w:rPr>
        <w:t> </w:t>
      </w:r>
      <w:bookmarkEnd w:id="17"/>
      <w:r w:rsidRPr="00A524F8">
        <w:rPr>
          <w:rFonts w:ascii="Arial" w:eastAsia="Times New Roman" w:hAnsi="Arial" w:cs="Arial"/>
          <w:b/>
          <w:bCs/>
          <w:kern w:val="0"/>
          <w:szCs w:val="24"/>
          <w:lang w:eastAsia="es-ES"/>
        </w:rPr>
        <w:t>19.</w:t>
      </w:r>
      <w:r w:rsidRPr="00A524F8">
        <w:rPr>
          <w:rFonts w:ascii="Arial" w:eastAsia="Times New Roman" w:hAnsi="Arial" w:cs="Arial"/>
          <w:kern w:val="0"/>
          <w:szCs w:val="24"/>
          <w:lang w:eastAsia="es-ES"/>
        </w:rPr>
        <w:t xml:space="preserve"> Información obligatoria. En la oportunidad que seña le el reglamento en cada año, los departamentos, distritos y municipios suministrarán al Ministerio de Educación la información del respectivo año relativa a los factores indispensables para el cálculo de los costos y de los incentivos del año siguiente. En caso de requerirse información financiera, ésta deberá ser refrendada por el Contador General o por el contador departamental previa delegación.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funcionarios de los departamentos, distritos y municipios que no proporcionen la información en los plazos establecidos por el Ministerio de Educación incurrirán en falta disciplinaria y serán objeto de las sanciones correspondientes, establecidas en el Régimen Disciplinario Unico.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En caso que la entidad territorial no proporcione la información, para el cálculo de la distribución de los recursos se tomará la información estimada por el Ministerio de Educación y la respectiva entidad no participará en la distribución de recursos por población por atender en condiciones de eficiencia y por equidad.</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V</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Disposiciones especiales en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8" w:name="20"/>
      <w:r w:rsidRPr="00A524F8">
        <w:rPr>
          <w:rFonts w:ascii="Arial" w:eastAsia="Times New Roman" w:hAnsi="Arial" w:cs="Arial"/>
          <w:b/>
          <w:bCs/>
          <w:kern w:val="0"/>
          <w:szCs w:val="24"/>
          <w:lang w:eastAsia="es-ES"/>
        </w:rPr>
        <w:t> </w:t>
      </w:r>
      <w:bookmarkEnd w:id="18"/>
      <w:r w:rsidRPr="00A524F8">
        <w:rPr>
          <w:rFonts w:ascii="Arial" w:eastAsia="Times New Roman" w:hAnsi="Arial" w:cs="Arial"/>
          <w:b/>
          <w:bCs/>
          <w:kern w:val="0"/>
          <w:szCs w:val="24"/>
          <w:lang w:eastAsia="es-ES"/>
        </w:rPr>
        <w:t>20.</w:t>
      </w:r>
      <w:r w:rsidRPr="00A524F8">
        <w:rPr>
          <w:rFonts w:ascii="Arial" w:eastAsia="Times New Roman" w:hAnsi="Arial" w:cs="Arial"/>
          <w:kern w:val="0"/>
          <w:szCs w:val="24"/>
          <w:lang w:eastAsia="es-ES"/>
        </w:rPr>
        <w:t xml:space="preserve"> Entidades territoriales certificadas. Son entidades territoriales certificadas en virtud de la presente ley, los departamentos y los distritos. La Nación certificará a los municipios con más de cien mil habitantes antes de finalizar el año 2002. Para efectos del cálculo poblacional se tomarán las proyecciones del DANE basadas en el último censo.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Todos aquellos municipios con menos de 100 mil habitantes que cumplan los requisitos que señale el reglamento en materia de capacidad técnica, administrativa y financiera podrán certificarse.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Le corresponde a los departamentos decidir sobre la certificación de los municipios menores de cien mil habitantes, que llenen los requisitos. Si contados seis meses desde la presentación de la solicitud no ha sido resuelta o ha sido rechazada, el municipio podrá acudir a la Nación para que ésta decida sobre la respectiva certificación.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certificados deberán demostrar, cuando lo requiera el Gobierno Nacional, que mantienen la capacidad necesaria para administrar el servicio público de educación. Aquellos municipios que no logren acreditar su capacidad, perderán la certificación.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19" w:name="21"/>
      <w:r w:rsidRPr="00A524F8">
        <w:rPr>
          <w:rFonts w:ascii="Arial" w:eastAsia="Times New Roman" w:hAnsi="Arial" w:cs="Arial"/>
          <w:b/>
          <w:bCs/>
          <w:kern w:val="0"/>
          <w:szCs w:val="24"/>
          <w:lang w:eastAsia="es-ES"/>
        </w:rPr>
        <w:t> </w:t>
      </w:r>
      <w:bookmarkEnd w:id="19"/>
      <w:r w:rsidRPr="00A524F8">
        <w:rPr>
          <w:rFonts w:ascii="Arial" w:eastAsia="Times New Roman" w:hAnsi="Arial" w:cs="Arial"/>
          <w:b/>
          <w:bCs/>
          <w:kern w:val="0"/>
          <w:szCs w:val="24"/>
          <w:lang w:eastAsia="es-ES"/>
        </w:rPr>
        <w:t>21.</w:t>
      </w:r>
      <w:r w:rsidRPr="00A524F8">
        <w:rPr>
          <w:rFonts w:ascii="Arial" w:eastAsia="Times New Roman" w:hAnsi="Arial" w:cs="Arial"/>
          <w:kern w:val="0"/>
          <w:szCs w:val="24"/>
          <w:lang w:eastAsia="es-ES"/>
        </w:rPr>
        <w:t xml:space="preserve"> Límite al crecimiento de los costos. Los compromisos que adquieran los departamentos, distritos y municipios certificados para la prestación de los servicios educativos a su cargo, cuando se adquieran con recursos del Sistema General de Participaciones, no podrán superar el monto de la participación para educación, en la respectiva vigencia fiscal, certificada por el Departamento Nacional de Planeación, para cada entidad territorial.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departamentos, distritos y municipios no podrán autorizar plantas de personal docente o administrativo a cargo del Sistema General de Participaciones, que superen el monto de los recursos de éste.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El crecimiento de costos por ascensos en el escalafón en las plantas de cargos de las entidades territoriales o cualquier otro costo del servicio educativo, con cargo al Sistema General de Participaciones, tendrá como límite el monto de los recursos disponibles, en el Sistema General de Participaciones. No procederá </w:t>
      </w:r>
      <w:r w:rsidRPr="00A524F8">
        <w:rPr>
          <w:rFonts w:ascii="Arial" w:eastAsia="Times New Roman" w:hAnsi="Arial" w:cs="Arial"/>
          <w:kern w:val="0"/>
          <w:szCs w:val="24"/>
          <w:u w:val="single"/>
          <w:lang w:eastAsia="es-ES"/>
        </w:rPr>
        <w:t>ningún</w:t>
      </w:r>
      <w:r w:rsidRPr="00A524F8">
        <w:rPr>
          <w:rFonts w:ascii="Arial" w:eastAsia="Times New Roman" w:hAnsi="Arial" w:cs="Arial"/>
          <w:kern w:val="0"/>
          <w:szCs w:val="24"/>
          <w:lang w:eastAsia="es-ES"/>
        </w:rPr>
        <w:t xml:space="preserve"> reconocimiento que supere este límite, los que se realicen no tendrán validez y darán lugar a responsabilidad fiscal para el funcionario que ordene el respectivo gasto. </w:t>
      </w:r>
      <w:r w:rsidRPr="00A524F8">
        <w:rPr>
          <w:rFonts w:ascii="Arial" w:eastAsia="Times New Roman" w:hAnsi="Arial" w:cs="Arial"/>
          <w:b/>
          <w:bCs/>
          <w:kern w:val="0"/>
          <w:szCs w:val="24"/>
          <w:lang w:eastAsia="es-ES"/>
        </w:rPr>
        <w:t>Texto subrayado declarado INEXEQUIBLE por la Corte Constitucional, mediante</w:t>
      </w:r>
      <w:r w:rsidRPr="00A524F8">
        <w:rPr>
          <w:rFonts w:ascii="Arial" w:eastAsia="Times New Roman" w:hAnsi="Arial" w:cs="Arial"/>
          <w:kern w:val="0"/>
          <w:szCs w:val="24"/>
          <w:lang w:eastAsia="es-ES"/>
        </w:rPr>
        <w:t xml:space="preserve"> </w:t>
      </w:r>
      <w:hyperlink r:id="rId52" w:anchor="0" w:history="1">
        <w:r w:rsidRPr="00A524F8">
          <w:rPr>
            <w:rFonts w:ascii="Arial" w:eastAsia="Times New Roman" w:hAnsi="Arial" w:cs="Arial"/>
            <w:color w:val="0000FF"/>
            <w:kern w:val="0"/>
            <w:szCs w:val="24"/>
            <w:u w:val="single"/>
            <w:lang w:eastAsia="es-ES"/>
          </w:rPr>
          <w:t>Sentencia C-423 de 2005</w:t>
        </w:r>
      </w:hyperlink>
      <w:r w:rsidRPr="00A524F8">
        <w:rPr>
          <w:rFonts w:ascii="Arial" w:eastAsia="Times New Roman" w:hAnsi="Arial" w:cs="Arial"/>
          <w:kern w:val="0"/>
          <w:szCs w:val="24"/>
          <w:lang w:eastAsia="es-ES"/>
        </w:rPr>
        <w:t xml:space="preserve">. </w:t>
      </w:r>
      <w:r w:rsidRPr="00A524F8">
        <w:rPr>
          <w:rFonts w:ascii="Arial" w:eastAsia="Times New Roman" w:hAnsi="Arial" w:cs="Arial"/>
          <w:b/>
          <w:bCs/>
          <w:kern w:val="0"/>
          <w:szCs w:val="24"/>
          <w:lang w:eastAsia="es-ES"/>
        </w:rPr>
        <w:t xml:space="preserve">El texto restante </w:t>
      </w:r>
      <w:r w:rsidRPr="00A524F8">
        <w:rPr>
          <w:rFonts w:ascii="Arial" w:eastAsia="Times New Roman" w:hAnsi="Arial" w:cs="Arial"/>
          <w:b/>
          <w:bCs/>
          <w:kern w:val="0"/>
          <w:szCs w:val="24"/>
          <w:lang w:eastAsia="es-ES"/>
        </w:rPr>
        <w:lastRenderedPageBreak/>
        <w:t>del mismo inciso, fue declarado EXEQUIBLE en la misma Sentencia, en el entendido de (i) que el reconocimiento de un ascenso de la carrera docente no podrá ser supeditado a la suficiencia de los recursos con destino a educación que debieron ser apropiados en el sistema general de participaciones para la correspondiente vigencia fiscal en razón de los ascensos que debieron ser previstos para dicho año, y (ii) que las consecuencias fiscales de dicho reconocimiento, de no haber disponibilidad presupuestal en un caso determinado, se harán efectivas a más tardar en la siguiente vigencia fiscal a partir del acto de reconocimiento del derecho</w:t>
      </w:r>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Con cargo a los recursos del Sistema General de Participaciones no se podrán crear prestaciones ni bonificaciones por parte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20" w:name="22"/>
      <w:r w:rsidRPr="00A524F8">
        <w:rPr>
          <w:rFonts w:ascii="Arial" w:eastAsia="Times New Roman" w:hAnsi="Arial" w:cs="Arial"/>
          <w:b/>
          <w:bCs/>
          <w:kern w:val="0"/>
          <w:szCs w:val="24"/>
          <w:lang w:eastAsia="es-ES"/>
        </w:rPr>
        <w:t> </w:t>
      </w:r>
      <w:bookmarkEnd w:id="20"/>
      <w:r w:rsidRPr="00A524F8">
        <w:rPr>
          <w:rFonts w:ascii="Arial" w:eastAsia="Times New Roman" w:hAnsi="Arial" w:cs="Arial"/>
          <w:b/>
          <w:bCs/>
          <w:kern w:val="0"/>
          <w:szCs w:val="24"/>
          <w:lang w:eastAsia="es-ES"/>
        </w:rPr>
        <w:t>22.</w:t>
      </w:r>
      <w:r w:rsidRPr="00A524F8">
        <w:rPr>
          <w:rFonts w:ascii="Arial" w:eastAsia="Times New Roman" w:hAnsi="Arial" w:cs="Arial"/>
          <w:kern w:val="0"/>
          <w:szCs w:val="24"/>
          <w:lang w:eastAsia="es-ES"/>
        </w:rPr>
        <w:t xml:space="preserve"> Traslados.  </w:t>
      </w:r>
      <w:hyperlink r:id="rId53" w:anchor="0" w:history="1">
        <w:r w:rsidRPr="00A524F8">
          <w:rPr>
            <w:rFonts w:ascii="Arial" w:eastAsia="Times New Roman" w:hAnsi="Arial" w:cs="Arial"/>
            <w:color w:val="0000FF"/>
            <w:kern w:val="0"/>
            <w:szCs w:val="24"/>
            <w:u w:val="single"/>
            <w:lang w:eastAsia="es-ES"/>
          </w:rPr>
          <w:t>Reglamentado por el Decreto Nacional 3222 de 2003</w:t>
        </w:r>
      </w:hyperlink>
      <w:r w:rsidRPr="00A524F8">
        <w:rPr>
          <w:rFonts w:ascii="Arial" w:eastAsia="Times New Roman" w:hAnsi="Arial" w:cs="Arial"/>
          <w:kern w:val="0"/>
          <w:szCs w:val="24"/>
          <w:lang w:eastAsia="es-ES"/>
        </w:rPr>
        <w:t>,  </w:t>
      </w:r>
      <w:hyperlink r:id="rId54" w:anchor="0" w:history="1">
        <w:r w:rsidRPr="00A524F8">
          <w:rPr>
            <w:rFonts w:ascii="Arial" w:eastAsia="Times New Roman" w:hAnsi="Arial" w:cs="Arial"/>
            <w:color w:val="0000FF"/>
            <w:kern w:val="0"/>
            <w:szCs w:val="24"/>
            <w:u w:val="single"/>
            <w:lang w:eastAsia="es-ES"/>
          </w:rPr>
          <w:t>Reglamentado por el Decreto Nacional 520 de 2010</w:t>
        </w:r>
      </w:hyperlink>
      <w:r w:rsidRPr="00A524F8">
        <w:rPr>
          <w:rFonts w:ascii="Arial" w:eastAsia="Times New Roman" w:hAnsi="Arial" w:cs="Arial"/>
          <w:kern w:val="0"/>
          <w:szCs w:val="24"/>
          <w:lang w:eastAsia="es-ES"/>
        </w:rPr>
        <w:t>. Cuando para la debida prestación del servicio educativo se requiera el traslado de un docente o directivo docente, este se ejecutará discrecionalmente y por acto debidamente motivado por la autoridad nominadora departamental, distrital o del municipio certificado cuando se efectúe dentro de la misma entidad territorial.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Cuando se trate de traslados entre departamentos, distritos o municipios certificados se requerirá, además del acto administrativo debidamente motivado, un convenio interadministrativo entre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solicitudes de traslados y las permutas procederán estrictamente de acuerdo con las necesidades del servicio y no podrán afectarse con ellos la composición de las plantas de personal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Gobierno Nacional reglamentará esta disposición.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55" w:anchor="1" w:history="1">
        <w:r w:rsidRPr="00A524F8">
          <w:rPr>
            <w:rFonts w:ascii="Arial" w:eastAsia="Times New Roman" w:hAnsi="Arial" w:cs="Arial"/>
            <w:color w:val="0000FF"/>
            <w:kern w:val="0"/>
            <w:szCs w:val="24"/>
            <w:u w:val="single"/>
            <w:lang w:eastAsia="es-ES"/>
          </w:rPr>
          <w:t xml:space="preserve">Ver Concepto Secretaría General 22 de 2002 </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21" w:name="23"/>
      <w:r w:rsidRPr="00A524F8">
        <w:rPr>
          <w:rFonts w:ascii="Arial" w:eastAsia="Times New Roman" w:hAnsi="Arial" w:cs="Arial"/>
          <w:b/>
          <w:bCs/>
          <w:kern w:val="0"/>
          <w:szCs w:val="24"/>
          <w:lang w:eastAsia="es-ES"/>
        </w:rPr>
        <w:t> </w:t>
      </w:r>
      <w:bookmarkEnd w:id="21"/>
      <w:r w:rsidRPr="00A524F8">
        <w:rPr>
          <w:rFonts w:ascii="Arial" w:eastAsia="Times New Roman" w:hAnsi="Arial" w:cs="Arial"/>
          <w:b/>
          <w:bCs/>
          <w:kern w:val="0"/>
          <w:szCs w:val="24"/>
          <w:lang w:eastAsia="es-ES"/>
        </w:rPr>
        <w:t>23.</w:t>
      </w:r>
      <w:r w:rsidRPr="00A524F8">
        <w:rPr>
          <w:rFonts w:ascii="Arial" w:eastAsia="Times New Roman" w:hAnsi="Arial" w:cs="Arial"/>
          <w:kern w:val="0"/>
          <w:szCs w:val="24"/>
          <w:lang w:eastAsia="es-ES"/>
        </w:rPr>
        <w:t xml:space="preserve"> </w:t>
      </w:r>
      <w:hyperlink r:id="rId56" w:anchor="1" w:history="1">
        <w:r w:rsidRPr="00A524F8">
          <w:rPr>
            <w:rFonts w:ascii="Arial" w:eastAsia="Times New Roman" w:hAnsi="Arial" w:cs="Arial"/>
            <w:color w:val="0000FF"/>
            <w:kern w:val="0"/>
            <w:szCs w:val="24"/>
            <w:u w:val="single"/>
            <w:lang w:eastAsia="es-ES"/>
          </w:rPr>
          <w:t>Reglamentado por el Decreto 1528 de 2002</w:t>
        </w:r>
      </w:hyperlink>
      <w:r w:rsidRPr="00A524F8">
        <w:rPr>
          <w:rFonts w:ascii="Arial" w:eastAsia="Times New Roman" w:hAnsi="Arial" w:cs="Arial"/>
          <w:kern w:val="0"/>
          <w:szCs w:val="24"/>
          <w:lang w:eastAsia="es-ES"/>
        </w:rPr>
        <w:t xml:space="preserve"> Restricciones financieras a la contratación y nominación. Ningún departamento, distrito o municipio podrá vincular o contratar docentes, directivos docentes, ni empleados administrativos, con recursos diferentes de los del Sistema General de Participaciones, sin contar con los ingresos corrientes de libre destinación necesarios para financiar sus salarios y los demás gastos inherentes a la nómina incluidas las prestaciones sociales, en el corto, mediano y largo plazo.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Toda contratación de personal para la prestación del servicio educativo con recursos propios, deberá garantizar que al menos la cohorte completa de estudiantes de educación básica sea atendida, para lo cual se deberá realizar un estudio financiero que soporte la autorización de las vigencias futuras por parte de las asambleas o concejos, y la aprobación de éstas por parte de las respectivas corporaciones.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Los municipios no certificados o los corregimientos departamentales no podrán vincular o contratar docentes, directivos docentes ni funcionarios </w:t>
      </w:r>
      <w:r w:rsidRPr="00A524F8">
        <w:rPr>
          <w:rFonts w:ascii="Arial" w:eastAsia="Times New Roman" w:hAnsi="Arial" w:cs="Arial"/>
          <w:kern w:val="0"/>
          <w:szCs w:val="24"/>
          <w:lang w:eastAsia="es-ES"/>
        </w:rPr>
        <w:lastRenderedPageBreak/>
        <w:t>administrativos para el sector educativo, o contratar bajo cualquier modalidad personas o instituciones para la prestación del servicio; dicha función será exclusiva del respectivo departamento.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ningún caso los docentes, directivos docentes y los administrativos vinculados o contratados con recursos propios podrán ser financiados con cargo al Sistema General de Participaciones, sin perjuicio de la responsabilidad penal y civil, disciplinaria y fiscal de quienes ordenen y ejecuten la vinculación o contratación.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ningún caso la Nación cubrirá gastos por personal docente, directivos docentes ni funcionarios administrativos del sector educativo, distintos a los autorizados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22" w:name="24"/>
      <w:r w:rsidRPr="00A524F8">
        <w:rPr>
          <w:rFonts w:ascii="Arial" w:eastAsia="Times New Roman" w:hAnsi="Arial" w:cs="Arial"/>
          <w:b/>
          <w:bCs/>
          <w:kern w:val="0"/>
          <w:szCs w:val="24"/>
          <w:lang w:eastAsia="es-ES"/>
        </w:rPr>
        <w:t> </w:t>
      </w:r>
      <w:bookmarkEnd w:id="22"/>
      <w:r w:rsidRPr="00A524F8">
        <w:rPr>
          <w:rFonts w:ascii="Arial" w:eastAsia="Times New Roman" w:hAnsi="Arial" w:cs="Arial"/>
          <w:b/>
          <w:bCs/>
          <w:kern w:val="0"/>
          <w:szCs w:val="24"/>
          <w:lang w:eastAsia="es-ES"/>
        </w:rPr>
        <w:t>24.</w:t>
      </w:r>
      <w:r w:rsidRPr="00A524F8">
        <w:rPr>
          <w:rFonts w:ascii="Arial" w:eastAsia="Times New Roman" w:hAnsi="Arial" w:cs="Arial"/>
          <w:kern w:val="0"/>
          <w:szCs w:val="24"/>
          <w:lang w:eastAsia="es-ES"/>
        </w:rPr>
        <w:t>  </w:t>
      </w:r>
      <w:hyperlink r:id="rId57" w:anchor="0" w:history="1">
        <w:r w:rsidRPr="00A524F8">
          <w:rPr>
            <w:rFonts w:ascii="Arial" w:eastAsia="Times New Roman" w:hAnsi="Arial" w:cs="Arial"/>
            <w:color w:val="0000FF"/>
            <w:kern w:val="0"/>
            <w:szCs w:val="24"/>
            <w:u w:val="single"/>
            <w:lang w:eastAsia="es-ES"/>
          </w:rPr>
          <w:t>Reglamentado por el Decreto Nacional 1095 de 2005</w:t>
        </w:r>
      </w:hyperlink>
      <w:r w:rsidRPr="00A524F8">
        <w:rPr>
          <w:rFonts w:ascii="Arial" w:eastAsia="Times New Roman" w:hAnsi="Arial" w:cs="Arial"/>
          <w:kern w:val="0"/>
          <w:szCs w:val="24"/>
          <w:lang w:eastAsia="es-ES"/>
        </w:rPr>
        <w:t>. Sostenibilidad del Sistema General de Participaciones. Durante el período de siete años, comprendido entre enero 1° de 2002 y 30 de diciembre de 2008, el ascenso en el escalafón de los docentes y directivos docentes, en carrera, se regirá por las siguientes disposiciones: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ningún caso se podrá ascender, a partir del grado séptimo en el escalafón, de un grado al siguiente y a ninguno posterior, sin haber cumplido el requisito de permanencia en cada uno de los grados. Solo podrán homologarse los estudios de pregrado y posgrado para ascender hasta el grado 10 del escalafón nacional docente, de acuerdo con las normas vigentes.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requisito de capacitación será en el área específica de desempeño o general según la reglamentación que para tal efecto señale el Gobierno Nacional.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tiempo de permanencia de los grados 11, 12 y 13 establecido en las disposiciones vigentes se aumenta en un año a partir de la vigencia de esta ley, y no será homologable.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58" w:anchor="65" w:history="1">
        <w:r w:rsidRPr="00A524F8">
          <w:rPr>
            <w:rFonts w:ascii="Arial" w:eastAsia="Times New Roman" w:hAnsi="Arial" w:cs="Arial"/>
            <w:color w:val="0000FF"/>
            <w:kern w:val="0"/>
            <w:szCs w:val="24"/>
            <w:u w:val="single"/>
            <w:lang w:eastAsia="es-ES"/>
          </w:rPr>
          <w:t>Aclarado por el art. 65, Ley 998 de 2005</w:t>
        </w:r>
      </w:hyperlink>
      <w:r w:rsidRPr="00A524F8">
        <w:rPr>
          <w:rFonts w:ascii="Arial" w:eastAsia="Times New Roman" w:hAnsi="Arial" w:cs="Arial"/>
          <w:kern w:val="0"/>
          <w:szCs w:val="24"/>
          <w:lang w:eastAsia="es-ES"/>
        </w:rPr>
        <w:t xml:space="preserve"> , </w:t>
      </w:r>
      <w:hyperlink r:id="rId59" w:anchor="65" w:history="1">
        <w:r w:rsidRPr="00A524F8">
          <w:rPr>
            <w:rFonts w:ascii="Arial" w:eastAsia="Times New Roman" w:hAnsi="Arial" w:cs="Arial"/>
            <w:color w:val="0000FF"/>
            <w:kern w:val="0"/>
            <w:szCs w:val="24"/>
            <w:u w:val="single"/>
            <w:lang w:eastAsia="es-ES"/>
          </w:rPr>
          <w:t>Interpretado por la Ley 1003 de 2005</w:t>
        </w:r>
      </w:hyperlink>
      <w:r w:rsidRPr="00A524F8">
        <w:rPr>
          <w:rFonts w:ascii="Arial" w:eastAsia="Times New Roman" w:hAnsi="Arial" w:cs="Arial"/>
          <w:kern w:val="0"/>
          <w:szCs w:val="24"/>
          <w:lang w:eastAsia="es-ES"/>
        </w:rPr>
        <w:t>. Los departamentos, distritos y municipios podrán destinar hasta un uno por ciento (1.0%) durante los años 2002 al 2005 y uno punto veinticinco (1.25%) durante los años 2006 al 2008, del incremento real de los recursos del sector, a financiar ascensos en el escalafón, previo certificado de la disponibilidad presupuestal. Cualquier ascenso que supere este límite deberá ser financiado con ingresos corrientes de libre disposición de la respectiva entidad territorial, previo certificado de disponibilidad.</w:t>
      </w:r>
    </w:p>
    <w:p w:rsidR="00A524F8" w:rsidRPr="00A524F8" w:rsidRDefault="00A524F8" w:rsidP="00A524F8">
      <w:pPr>
        <w:spacing w:before="100" w:beforeAutospacing="1" w:after="100" w:afterAutospacing="1"/>
        <w:jc w:val="left"/>
        <w:rPr>
          <w:rFonts w:eastAsia="Times New Roman" w:cs="Times New Roman"/>
          <w:color w:val="0000FF"/>
          <w:kern w:val="0"/>
          <w:szCs w:val="24"/>
          <w:u w:val="single"/>
          <w:lang w:eastAsia="es-ES"/>
        </w:rPr>
      </w:pPr>
      <w:r w:rsidRPr="00A524F8">
        <w:rPr>
          <w:rFonts w:ascii="Arial" w:eastAsia="Times New Roman" w:hAnsi="Arial" w:cs="Arial"/>
          <w:kern w:val="0"/>
          <w:szCs w:val="24"/>
          <w:lang w:eastAsia="es-ES"/>
        </w:rPr>
        <w:t> </w:t>
      </w:r>
      <w:hyperlink r:id="rId60" w:anchor="0" w:history="1">
        <w:r w:rsidRPr="00A524F8">
          <w:rPr>
            <w:rFonts w:ascii="Arial" w:eastAsia="Times New Roman" w:hAnsi="Arial" w:cs="Arial"/>
            <w:color w:val="0000FF"/>
            <w:kern w:val="0"/>
            <w:szCs w:val="24"/>
            <w:u w:val="single"/>
            <w:lang w:eastAsia="es-ES"/>
          </w:rPr>
          <w:t>Reglamentado por el Decreto Nacional 1171 de 2004</w:t>
        </w:r>
      </w:hyperlink>
      <w:r w:rsidRPr="00A524F8">
        <w:rPr>
          <w:rFonts w:ascii="Arial" w:eastAsia="Times New Roman" w:hAnsi="Arial" w:cs="Arial"/>
          <w:kern w:val="0"/>
          <w:szCs w:val="24"/>
          <w:lang w:eastAsia="es-ES"/>
        </w:rPr>
        <w:t xml:space="preserve">, </w:t>
      </w:r>
      <w:hyperlink r:id="rId61" w:anchor="0" w:history="1">
        <w:r w:rsidRPr="00A524F8">
          <w:rPr>
            <w:rFonts w:ascii="Arial" w:eastAsia="Times New Roman" w:hAnsi="Arial" w:cs="Arial"/>
            <w:color w:val="0000FF"/>
            <w:kern w:val="0"/>
            <w:szCs w:val="24"/>
            <w:u w:val="single"/>
            <w:lang w:eastAsia="es-ES"/>
          </w:rPr>
          <w:t>Reglamentado Parcialmente por el Decreto Nacional 521 de 2010</w:t>
        </w:r>
      </w:hyperlink>
      <w:r w:rsidRPr="00A524F8">
        <w:rPr>
          <w:rFonts w:ascii="Arial" w:eastAsia="Times New Roman" w:hAnsi="Arial" w:cs="Arial"/>
          <w:kern w:val="0"/>
          <w:szCs w:val="24"/>
          <w:lang w:eastAsia="es-ES"/>
        </w:rPr>
        <w:t xml:space="preserve">. </w:t>
      </w:r>
      <w:r w:rsidRPr="00A524F8">
        <w:rPr>
          <w:rFonts w:ascii="Arial" w:eastAsia="Times New Roman" w:hAnsi="Arial" w:cs="Arial"/>
          <w:kern w:val="0"/>
          <w:szCs w:val="24"/>
          <w:u w:val="single"/>
          <w:lang w:eastAsia="es-ES"/>
        </w:rPr>
        <w:t>Los docentes que laboran en áreas rurales de difícil acceso podrán tener estímulos consistentes en bonificación, capacitación, y tiempo, entre otros, de conformidad con el reglamento que para la aplicación de este artículo expida el Gobierno Nacional</w:t>
      </w:r>
      <w:r w:rsidRPr="00A524F8">
        <w:rPr>
          <w:rFonts w:ascii="Arial" w:eastAsia="Times New Roman" w:hAnsi="Arial" w:cs="Arial"/>
          <w:kern w:val="0"/>
          <w:szCs w:val="24"/>
          <w:lang w:eastAsia="es-ES"/>
        </w:rPr>
        <w:t>. </w:t>
      </w:r>
      <w:r w:rsidRPr="00A524F8">
        <w:rPr>
          <w:rFonts w:ascii="Arial" w:eastAsia="Times New Roman" w:hAnsi="Arial" w:cs="Arial"/>
          <w:b/>
          <w:bCs/>
          <w:kern w:val="0"/>
          <w:szCs w:val="24"/>
          <w:lang w:eastAsia="es-ES"/>
        </w:rPr>
        <w:t>Texto subrayado declarado EXEQUIBLE por la Corte Constitucional mediante</w:t>
      </w:r>
      <w:r w:rsidRPr="00A524F8">
        <w:rPr>
          <w:rFonts w:ascii="Arial" w:eastAsia="Times New Roman" w:hAnsi="Arial" w:cs="Arial"/>
          <w:kern w:val="0"/>
          <w:szCs w:val="24"/>
          <w:lang w:eastAsia="es-ES"/>
        </w:rPr>
        <w:t xml:space="preserve"> </w:t>
      </w:r>
      <w:r w:rsidRPr="00A524F8">
        <w:rPr>
          <w:rFonts w:ascii="Arial" w:eastAsia="Times New Roman" w:hAnsi="Arial" w:cs="Arial"/>
          <w:kern w:val="0"/>
          <w:szCs w:val="24"/>
          <w:lang w:eastAsia="es-ES"/>
        </w:rPr>
        <w:fldChar w:fldCharType="begin"/>
      </w:r>
      <w:r w:rsidRPr="00A524F8">
        <w:rPr>
          <w:rFonts w:ascii="Arial" w:eastAsia="Times New Roman" w:hAnsi="Arial" w:cs="Arial"/>
          <w:kern w:val="0"/>
          <w:szCs w:val="24"/>
          <w:lang w:eastAsia="es-ES"/>
        </w:rPr>
        <w:instrText xml:space="preserve"> HYPERLINK "http://www.alcaldiabogota.gov.co/sisjur/normas/Norma1.jsp?i=12454" \l "0" </w:instrText>
      </w:r>
      <w:r w:rsidRPr="00A524F8">
        <w:rPr>
          <w:rFonts w:ascii="Arial" w:eastAsia="Times New Roman" w:hAnsi="Arial" w:cs="Arial"/>
          <w:kern w:val="0"/>
          <w:szCs w:val="24"/>
          <w:lang w:eastAsia="es-ES"/>
        </w:rPr>
        <w:fldChar w:fldCharType="separate"/>
      </w:r>
      <w:r w:rsidRPr="00A524F8">
        <w:rPr>
          <w:rFonts w:ascii="Arial" w:eastAsia="Times New Roman" w:hAnsi="Arial" w:cs="Arial"/>
          <w:color w:val="0000FF"/>
          <w:kern w:val="0"/>
          <w:szCs w:val="24"/>
          <w:u w:val="single"/>
          <w:lang w:eastAsia="es-ES"/>
        </w:rPr>
        <w:t xml:space="preserve">Sentencia C-103 de 2003 </w:t>
      </w:r>
    </w:p>
    <w:p w:rsidR="00A524F8" w:rsidRPr="00A524F8" w:rsidRDefault="00A524F8" w:rsidP="00A524F8">
      <w:pPr>
        <w:spacing w:before="100" w:beforeAutospacing="1" w:after="100" w:afterAutospacing="1"/>
        <w:jc w:val="left"/>
        <w:rPr>
          <w:rFonts w:eastAsia="Times New Roman" w:cs="Times New Roman"/>
          <w:kern w:val="0"/>
          <w:szCs w:val="24"/>
          <w:lang w:eastAsia="es-ES"/>
        </w:rPr>
      </w:pPr>
      <w:r w:rsidRPr="00A524F8">
        <w:rPr>
          <w:rFonts w:ascii="Arial" w:eastAsia="Times New Roman" w:hAnsi="Arial" w:cs="Arial"/>
          <w:kern w:val="0"/>
          <w:szCs w:val="24"/>
          <w:lang w:eastAsia="es-ES"/>
        </w:rPr>
        <w:lastRenderedPageBreak/>
        <w:fldChar w:fldCharType="end"/>
      </w:r>
      <w:r w:rsidRPr="00A524F8">
        <w:rPr>
          <w:rFonts w:ascii="Arial" w:eastAsia="Times New Roman" w:hAnsi="Arial" w:cs="Arial"/>
          <w:b/>
          <w:bCs/>
          <w:kern w:val="0"/>
          <w:szCs w:val="24"/>
          <w:lang w:eastAsia="es-ES"/>
        </w:rPr>
        <w:t>Parágrafo</w:t>
      </w:r>
      <w:r w:rsidRPr="00A524F8">
        <w:rPr>
          <w:rFonts w:ascii="Arial" w:eastAsia="Times New Roman" w:hAnsi="Arial" w:cs="Arial"/>
          <w:kern w:val="0"/>
          <w:szCs w:val="24"/>
          <w:lang w:eastAsia="es-ES"/>
        </w:rPr>
        <w:t>. El régimen de carrera de los nuevos docentes y directivos docentes que se vinculen, de manera provisional o definitiva, a partir de la vigencia de la presente ley, será el que se expida de conformidad con el artículo 111.</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25.</w:t>
      </w:r>
      <w:r w:rsidRPr="00A524F8">
        <w:rPr>
          <w:rFonts w:ascii="Arial" w:eastAsia="Times New Roman" w:hAnsi="Arial" w:cs="Arial"/>
          <w:kern w:val="0"/>
          <w:szCs w:val="24"/>
          <w:lang w:eastAsia="es-ES"/>
        </w:rPr>
        <w:t xml:space="preserve"> Del régimen laboral de los directores de divisiones, unidades administrativas o similares. Las divisiones, unidades administrativas o unidades similares creadas por las entidades territoriales estarán a cargo de funcionarios sometidos al régimen ordinario de carrera administrativa.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26.</w:t>
      </w:r>
      <w:r w:rsidRPr="00A524F8">
        <w:rPr>
          <w:rFonts w:ascii="Arial" w:eastAsia="Times New Roman" w:hAnsi="Arial" w:cs="Arial"/>
          <w:kern w:val="0"/>
          <w:szCs w:val="24"/>
          <w:lang w:eastAsia="es-ES"/>
        </w:rPr>
        <w:t xml:space="preserve"> De la bonificación para retiros voluntarios. El Gobierno Nacional podrá establecer una bonificación para los docentes y directivos docentes pensionados que se retiren voluntariamente del servicio.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23" w:name="27"/>
      <w:r w:rsidRPr="00A524F8">
        <w:rPr>
          <w:rFonts w:ascii="Arial" w:eastAsia="Times New Roman" w:hAnsi="Arial" w:cs="Arial"/>
          <w:b/>
          <w:bCs/>
          <w:kern w:val="0"/>
          <w:szCs w:val="24"/>
          <w:lang w:eastAsia="es-ES"/>
        </w:rPr>
        <w:t> </w:t>
      </w:r>
      <w:bookmarkEnd w:id="23"/>
      <w:r w:rsidRPr="00A524F8">
        <w:rPr>
          <w:rFonts w:ascii="Arial" w:eastAsia="Times New Roman" w:hAnsi="Arial" w:cs="Arial"/>
          <w:b/>
          <w:bCs/>
          <w:kern w:val="0"/>
          <w:szCs w:val="24"/>
          <w:lang w:eastAsia="es-ES"/>
        </w:rPr>
        <w:t>27.</w:t>
      </w:r>
      <w:r w:rsidRPr="00A524F8">
        <w:rPr>
          <w:rFonts w:ascii="Arial" w:eastAsia="Times New Roman" w:hAnsi="Arial" w:cs="Arial"/>
          <w:kern w:val="0"/>
          <w:szCs w:val="24"/>
          <w:lang w:eastAsia="es-ES"/>
        </w:rPr>
        <w:t xml:space="preserve"> </w:t>
      </w:r>
      <w:hyperlink r:id="rId62" w:anchor="1" w:history="1">
        <w:r w:rsidRPr="00A524F8">
          <w:rPr>
            <w:rFonts w:ascii="Arial" w:eastAsia="Times New Roman" w:hAnsi="Arial" w:cs="Arial"/>
            <w:color w:val="0000FF"/>
            <w:kern w:val="0"/>
            <w:szCs w:val="24"/>
            <w:u w:val="single"/>
            <w:lang w:eastAsia="es-ES"/>
          </w:rPr>
          <w:t>Reglamentado por el Decreto 1528 de 2002</w:t>
        </w:r>
      </w:hyperlink>
      <w:r w:rsidRPr="00A524F8">
        <w:rPr>
          <w:rFonts w:ascii="Arial" w:eastAsia="Times New Roman" w:hAnsi="Arial" w:cs="Arial"/>
          <w:kern w:val="0"/>
          <w:szCs w:val="24"/>
          <w:lang w:eastAsia="es-ES"/>
        </w:rPr>
        <w:t xml:space="preserve">, </w:t>
      </w:r>
      <w:hyperlink r:id="rId63" w:anchor="30" w:history="1">
        <w:r w:rsidRPr="00A524F8">
          <w:rPr>
            <w:rFonts w:ascii="Arial" w:eastAsia="Times New Roman" w:hAnsi="Arial" w:cs="Arial"/>
            <w:color w:val="0000FF"/>
            <w:kern w:val="0"/>
            <w:szCs w:val="24"/>
            <w:u w:val="single"/>
            <w:lang w:eastAsia="es-ES"/>
          </w:rPr>
          <w:t>Adicionado por el art. 30, Ley 1176 de 2007</w:t>
        </w:r>
      </w:hyperlink>
      <w:r w:rsidRPr="00A524F8">
        <w:rPr>
          <w:rFonts w:ascii="Arial" w:eastAsia="Times New Roman" w:hAnsi="Arial" w:cs="Arial"/>
          <w:kern w:val="0"/>
          <w:szCs w:val="24"/>
          <w:lang w:eastAsia="es-ES"/>
        </w:rPr>
        <w:t>. Prestación del Servicio Educativo. Los departamentos, distritos y municipios certificados, prestarán el servicio público de la educación a través de las instituciones educativas oficiales. Podrán, cuando se demuestre la insuficiencia en las instituciones educativas del Estado, contratar la prestación del servicio con entidades estatales o no estatales, que presten servicios educativos, de reconocida trayectoria e idoneidad, previa acreditación, con recursos del Sistema General de Participaciones, de conformidad con la presente ley. El Gobierno Nacional reglamentará la presente disposición.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Cuando con cargo al Sistema General de Participaciones los municipios o distritos contraten la prestación del servicio educativo con entidades no estatales, el valor de la prestación del servicio financiado con estos recursos del sistema no podrá ser superior a la asignación por alumno definido por la Nación. Cuando el valor sea superior, el excedente se pagará con recursos propios de la entidad territorial, con las restricciones señaladas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Cuando con cargo a recursos propios la prestación del servicio sea contratada con entidades no estatales, la entidad territorial deberá garantizar la atención de al menos el ciclo completo de estudiantes de educación básica.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Educación Misional Contratada y otras modalidades de educación que venían financiándose con recursos del Situado Fiscal, y las Participaciones de los Municipios en los Ingresos Corrientes de la Nación se podrán continuar financiando con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28.</w:t>
      </w:r>
      <w:r w:rsidRPr="00A524F8">
        <w:rPr>
          <w:rFonts w:ascii="Arial" w:eastAsia="Times New Roman" w:hAnsi="Arial" w:cs="Arial"/>
          <w:kern w:val="0"/>
          <w:szCs w:val="24"/>
          <w:lang w:eastAsia="es-ES"/>
        </w:rPr>
        <w:t xml:space="preserve"> Prioridad en la inversión. Los departamentos, distritos y municipios darán prioridad a la inversión que beneficie a los estratos más pobres. Sin detrimento del derecho universal a la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29.</w:t>
      </w:r>
      <w:r w:rsidRPr="00A524F8">
        <w:rPr>
          <w:rFonts w:ascii="Arial" w:eastAsia="Times New Roman" w:hAnsi="Arial" w:cs="Arial"/>
          <w:kern w:val="0"/>
          <w:szCs w:val="24"/>
          <w:lang w:eastAsia="es-ES"/>
        </w:rPr>
        <w:t xml:space="preserve"> El control del cumplimiento de las condiciones de la presente Ley. Con el fin de garantizar el cumplimiento de las condiciones bajo las cuales se deben asumir las competencias, responsabilidades y funciones de que trata la presente ley, se prevén las siguientes causales para que la Nación, Ministerio de Educación Nacional, determine que un departamento, municipio o distrito </w:t>
      </w:r>
      <w:r w:rsidRPr="00A524F8">
        <w:rPr>
          <w:rFonts w:ascii="Arial" w:eastAsia="Times New Roman" w:hAnsi="Arial" w:cs="Arial"/>
          <w:kern w:val="0"/>
          <w:szCs w:val="24"/>
          <w:lang w:eastAsia="es-ES"/>
        </w:rPr>
        <w:lastRenderedPageBreak/>
        <w:t>para la administración de uno o varios de los servicios educativos a su cargo, se sujete al sistema de control de la educación que podrá ser ejercido directamente por la Nación o contratado, sin perjuicio de las sanciones penales, disciplinarias o fiscales a que hubiere lugar por parte de las autoridades competentes. Este sistema de control procederá, a juicio de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29.1. Cuando un departamento, distrito o municipio no reporte la información requerida o reporte información inexacta.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29.2. Cuando un departamento, distrito o municipio haya disminuido la calidad de los servicios o las coberturas por causas imputables a la dirección administrativa de dichos servicios.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29.3. Cuando con base en la evaluación de la gestión financiera, técnica y administrativa del sector educativo y por causas imputables al departamento, distrito o municipio se detecten irregularidades en la prestación del servicio.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29.4. Cuando un departamento, distrito o municipio no cumpla los estándares de calidad mínimos en la prestación del servicio.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29.5. Cuando la autoridad competente establezca que en un departamento, distrito o municipio se han desviado recursos del sector.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entidades territoriales podrán solicitar una nueva evaluación con el fin de establecer si las causales que motivaron la operación del sistema de control de la educación fueron corregidas.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sistema de control de la educación se considera como costo de la prestación del servicio y podrá pagarse con cargo a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30.</w:t>
      </w:r>
      <w:r w:rsidRPr="00A524F8">
        <w:rPr>
          <w:rFonts w:ascii="Arial" w:eastAsia="Times New Roman" w:hAnsi="Arial" w:cs="Arial"/>
          <w:kern w:val="0"/>
          <w:szCs w:val="24"/>
          <w:lang w:eastAsia="es-ES"/>
        </w:rPr>
        <w:t xml:space="preserve"> Nombramiento de una administración temporal. Cuando realizada la evaluación de control de la educación a que se refiere el artículo anterior, la entidad territorial no realice las acciones necesarias para corregir las fallas en el servicio por las cuales se le designó ésta, el Ministerio de Educación podrá suspender la capacidad legal de las autoridades territoriales para la administración del servicio público de educación y designar de forma temporal un administrador especial, que podrá ser un funcionario nacional o departamental, o a quien designe el Ministerio, para que asuma por el tiempo y en las condiciones que se determine, la administración del servicio educativo en la entidad territorial.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administrador especial tendrá todas las facultades propias del jefe del organismo intervenido para la administración del servicio público de educación, durante el tiempo que señale el Ministerio de Educación y podrá disponer para tal fin de los recursos del Sistema General de Participaciones y de los demás recursos destinados al servicio educativo público, como ordenador de gasto y nominador dentro de los límites de la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La administración especial tendrá como objeto garantizar la prestación del servicio y corregir las fallas que dieron lugar a la evaluación de control de la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administración especial a que se refiere el presente artículo se considera como costo de la prestación del servicio y se pagará con cargo a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31.</w:t>
      </w:r>
      <w:r w:rsidRPr="00A524F8">
        <w:rPr>
          <w:rFonts w:ascii="Arial" w:eastAsia="Times New Roman" w:hAnsi="Arial" w:cs="Arial"/>
          <w:kern w:val="0"/>
          <w:szCs w:val="24"/>
          <w:lang w:eastAsia="es-ES"/>
        </w:rPr>
        <w:t xml:space="preserve"> Pérdida de la certificación. En el caso de los municipios, cuando la administración especial a que se refiere el artículo anterior no logre corregir las fallas que dieron lugar a ésta, perderán la certificación y serán administrados por el respectivo departamento, sin perjuicio de solicitar y obtener una nueva certificación.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32.</w:t>
      </w:r>
      <w:r w:rsidRPr="00A524F8">
        <w:rPr>
          <w:rFonts w:ascii="Arial" w:eastAsia="Times New Roman" w:hAnsi="Arial" w:cs="Arial"/>
          <w:kern w:val="0"/>
          <w:szCs w:val="24"/>
          <w:lang w:eastAsia="es-ES"/>
        </w:rPr>
        <w:t xml:space="preserve"> Sistema de información. Los departamentos, distritos y municipios deberán contar con un sistema de información del sector educativo y mantenerlo actualizado de acuerdo con las orientaciones que para tal fin determine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gobernadores y alcaldes deberán informar anualmente al Ministerio de Educación Nacional la nómina de todo el personal con cargo a todas las fuentes de financiación, discriminada por cada una de ellas, con sus modificaciones, refrendada por el contador municipal o departamental.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incumplimiento de estas disposiciones se considerará falta grave y acarreará las sanciones respectivas para el secretario de educación departamental, municipal y distrital, y el funcionario o funcionarios encargados de administrar la planta o la nómina, y será causal para ordenar la interventoría especial de la administración por parte del Ministerio de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implantación del sistema de información se considera como costo de la prestación del servicio y podrá pagarse con cargo a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33.</w:t>
      </w:r>
      <w:r w:rsidRPr="00A524F8">
        <w:rPr>
          <w:rFonts w:ascii="Arial" w:eastAsia="Times New Roman" w:hAnsi="Arial" w:cs="Arial"/>
          <w:kern w:val="0"/>
          <w:szCs w:val="24"/>
          <w:lang w:eastAsia="es-ES"/>
        </w:rPr>
        <w:t xml:space="preserve"> Control social. Los secretarios de educación departamental, municipal y distrital informarán anualmente a los consejos directivos de las instituciones educativas oficiales y harán público por los medios masivos de comunicación de su jurisdicción, los recursos, las plazas y la nómina que le asignen a cada una de las instituciones conforme a los parámetros de asignación de personal definidos por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incumplimiento de esta disposición se considerará falta grave y acarreará las sanciones respectivas para el Secretario de Educación o quien haga sus veces.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34.</w:t>
      </w:r>
      <w:r w:rsidRPr="00A524F8">
        <w:rPr>
          <w:rFonts w:ascii="Arial" w:eastAsia="Times New Roman" w:hAnsi="Arial" w:cs="Arial"/>
          <w:kern w:val="0"/>
          <w:szCs w:val="24"/>
          <w:lang w:eastAsia="es-ES"/>
        </w:rPr>
        <w:t xml:space="preserve"> Incorporación a las plantas. Durante el último año de que trata el artículo 37 de esta ley, se establecerán las plantas de cargos docentes, directivos y administrativos de los planteles educativos, de los departamentos, distritos y municipios.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Establecidas las plantas, los docentes, directivos docentes y administrativos de los planteles educativos, que fueron nombrados con el lleno de los requisitos, mantendrán su vinculación sin solución de continuidad.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docentes, directivos docentes y funcionarios administrativos de los planteles educativos que a 1° de noviembre de 2000 se encontraban contratados por órdenes de prestación de servicios, que sean vinculados de manera provisional, deberán cumplir los requisitos de la carrera docente y administrativa para su incorporación definitiva a las plantas que se establezcan.</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VI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Disposiciones transitorias en educación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35.</w:t>
      </w:r>
      <w:r w:rsidRPr="00A524F8">
        <w:rPr>
          <w:rFonts w:ascii="Arial" w:eastAsia="Times New Roman" w:hAnsi="Arial" w:cs="Arial"/>
          <w:kern w:val="0"/>
          <w:szCs w:val="24"/>
          <w:lang w:eastAsia="es-ES"/>
        </w:rPr>
        <w:t xml:space="preserve"> Del período de transición. El período de transición de la presente Ley será de hasta dos (2) años, contados desde la vigencia de la misma.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36.</w:t>
      </w:r>
      <w:r w:rsidRPr="00A524F8">
        <w:rPr>
          <w:rFonts w:ascii="Arial" w:eastAsia="Times New Roman" w:hAnsi="Arial" w:cs="Arial"/>
          <w:kern w:val="0"/>
          <w:szCs w:val="24"/>
          <w:lang w:eastAsia="es-ES"/>
        </w:rPr>
        <w:t xml:space="preserve"> Incorporación de costos al Sistema General de Participaciones para Educación. La incorporación de los costos al Sistema General de Participaciones a que se refiere el inciso dos del parágrafo 1° del artículo 357 de la Constitución, se realizará el 1° de enero del año 2002.</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Para determinar el costo de la prestación del servicio, se tomará como base el costo de los docentes y personal administrativo y directivo de los planteles educativos a 1° de noviembre del año 2000, financiado con los recursos de la participación de los municipios en los ingresos corrientes de la Nación, el situado fiscal, los recursos adicionales del situado fiscal y los recursos propios de departamentos y municipios, sin que la participación para educación exceda el 58.5% del total de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37.</w:t>
      </w:r>
      <w:r w:rsidRPr="00A524F8">
        <w:rPr>
          <w:rFonts w:ascii="Arial" w:eastAsia="Times New Roman" w:hAnsi="Arial" w:cs="Arial"/>
          <w:kern w:val="0"/>
          <w:szCs w:val="24"/>
          <w:lang w:eastAsia="es-ES"/>
        </w:rPr>
        <w:t xml:space="preserve"> Organización de plantas. Las plantas de cargos docentes y de los administrativos de las instituciones educativas serán organizadas conjuntamente por la Nación, departamentos, distritos y municipios, en un período máximo de dos años, teniendo en cuenta los criterios establecidos en la presente ley.  </w:t>
      </w:r>
      <w:hyperlink r:id="rId64" w:anchor="0" w:history="1">
        <w:r w:rsidRPr="00A524F8">
          <w:rPr>
            <w:rFonts w:ascii="Arial" w:eastAsia="Times New Roman" w:hAnsi="Arial" w:cs="Arial"/>
            <w:color w:val="0000FF"/>
            <w:kern w:val="0"/>
            <w:szCs w:val="24"/>
            <w:u w:val="single"/>
            <w:lang w:eastAsia="es-ES"/>
          </w:rPr>
          <w:t>Ver la Directiva del Ministerio de Educación 15 de 2002</w:t>
        </w:r>
      </w:hyperlink>
      <w:r w:rsidRPr="00A524F8">
        <w:rPr>
          <w:rFonts w:ascii="Arial" w:eastAsia="Times New Roman" w:hAnsi="Arial" w:cs="Arial"/>
          <w:kern w:val="0"/>
          <w:szCs w:val="24"/>
          <w:lang w:eastAsia="es-ES"/>
        </w:rPr>
        <w:t xml:space="preserve"> , </w:t>
      </w:r>
      <w:hyperlink r:id="rId65" w:anchor="0" w:history="1">
        <w:r w:rsidRPr="00A524F8">
          <w:rPr>
            <w:rFonts w:ascii="Arial" w:eastAsia="Times New Roman" w:hAnsi="Arial" w:cs="Arial"/>
            <w:color w:val="0000FF"/>
            <w:kern w:val="0"/>
            <w:szCs w:val="24"/>
            <w:u w:val="single"/>
            <w:lang w:eastAsia="es-ES"/>
          </w:rPr>
          <w:t xml:space="preserve">Ver la Directiva del Ministerio de Educación 20 de 2003 </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24" w:name="38"/>
      <w:r w:rsidRPr="00A524F8">
        <w:rPr>
          <w:rFonts w:ascii="Arial" w:eastAsia="Times New Roman" w:hAnsi="Arial" w:cs="Arial"/>
          <w:b/>
          <w:bCs/>
          <w:kern w:val="0"/>
          <w:szCs w:val="24"/>
          <w:lang w:eastAsia="es-ES"/>
        </w:rPr>
        <w:t> </w:t>
      </w:r>
      <w:bookmarkEnd w:id="24"/>
      <w:r w:rsidRPr="00A524F8">
        <w:rPr>
          <w:rFonts w:ascii="Arial" w:eastAsia="Times New Roman" w:hAnsi="Arial" w:cs="Arial"/>
          <w:b/>
          <w:bCs/>
          <w:kern w:val="0"/>
          <w:szCs w:val="24"/>
          <w:lang w:eastAsia="es-ES"/>
        </w:rPr>
        <w:t>38.</w:t>
      </w:r>
      <w:r w:rsidRPr="00A524F8">
        <w:rPr>
          <w:rFonts w:ascii="Arial" w:eastAsia="Times New Roman" w:hAnsi="Arial" w:cs="Arial"/>
          <w:kern w:val="0"/>
          <w:szCs w:val="24"/>
          <w:lang w:eastAsia="es-ES"/>
        </w:rPr>
        <w:t xml:space="preserve"> Incorporación de docentes, directivos docentes y administrativos a los cargos de las plantas. La provisión de cargos en las plantas financiadas con recursos del Sistema General de Participaciones, se realizará por parte de la respectiva entidad territorial, dando prioridad al personal actualmente vinculado y que cumpla los requisitos para el ejercicio del cargo.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docentes, directivos docentes y administrativos de los planteles educativos vinculados a la carrera docente a la expedición de la presente ley, no requieren nueva vinculación o nuevo concurso para continuar en el ejercicio del cargo, sin perjuicio del derecho de la administración al traslado del mismo.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A los docentes, directivos docentes y funcionarios administrativos de los planteles educativos que se financien con recursos del Sistema General de </w:t>
      </w:r>
      <w:r w:rsidRPr="00A524F8">
        <w:rPr>
          <w:rFonts w:ascii="Arial" w:eastAsia="Times New Roman" w:hAnsi="Arial" w:cs="Arial"/>
          <w:kern w:val="0"/>
          <w:szCs w:val="24"/>
          <w:lang w:eastAsia="es-ES"/>
        </w:rPr>
        <w:lastRenderedPageBreak/>
        <w:t>Participaciones, sólo se les podrá reconocer el régimen salarial y prestacional establecido por ley o de acuerdo con esta. </w:t>
      </w:r>
      <w:hyperlink r:id="rId66" w:anchor="0" w:history="1">
        <w:r w:rsidRPr="00A524F8">
          <w:rPr>
            <w:rFonts w:ascii="Arial" w:eastAsia="Times New Roman" w:hAnsi="Arial" w:cs="Arial"/>
            <w:color w:val="0000FF"/>
            <w:kern w:val="0"/>
            <w:szCs w:val="24"/>
            <w:u w:val="single"/>
            <w:lang w:eastAsia="es-ES"/>
          </w:rPr>
          <w:t>Ver la Directiva del Ministerio de Educación 14 de 2003</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u w:val="single"/>
          <w:lang w:eastAsia="es-ES"/>
        </w:rPr>
        <w:t xml:space="preserve">Los docentes, directivos docentes y funcionarios administrativos de los planteles educativos que a 1° de noviembre de 2000 se encontraban contratados en departamentos y municipios por órdenes de prestación de servicios, y que cumplan los requisitos para el ejercicio del respectivo cargo, y cuyos contratos fueron renovados en el año 2001, por el municipio o el departamento, indistintamente, serán vinculados de manera provisional durante el año lectivo de 2002. Mientras ello ocurre, deberán, los departamentos y municipios, renovarles los contratos </w:t>
      </w:r>
      <w:r w:rsidRPr="00A524F8">
        <w:rPr>
          <w:rFonts w:ascii="Arial" w:eastAsia="Times New Roman" w:hAnsi="Arial" w:cs="Arial"/>
          <w:b/>
          <w:bCs/>
          <w:kern w:val="0"/>
          <w:szCs w:val="24"/>
          <w:lang w:eastAsia="es-ES"/>
        </w:rPr>
        <w:t>a más tardar el 1° de febrero de 2002</w:t>
      </w:r>
      <w:r w:rsidRPr="00A524F8">
        <w:rPr>
          <w:rFonts w:ascii="Arial" w:eastAsia="Times New Roman" w:hAnsi="Arial" w:cs="Arial"/>
          <w:kern w:val="0"/>
          <w:szCs w:val="24"/>
          <w:lang w:eastAsia="es-ES"/>
        </w:rPr>
        <w:t>.</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u w:val="single"/>
          <w:lang w:eastAsia="es-ES"/>
        </w:rPr>
        <w:t>Los docentes, directivos docentes y funcionarios administrativos de los planteles educativos que demuestren que estuvieron vinculados por órdenes de prestación de servicios por los departamentos o municipios, dentro de los dos meses antes y el 1° de noviembre de 2000, demostrando solución de continuidad durante ese período, y que cumplan los requisitos del cargo, serán vinculados de manera provisional durante el año 2002.</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u w:val="single"/>
          <w:lang w:eastAsia="es-ES"/>
        </w:rPr>
        <w:t>Los docentes, directivos docentes y funcionarios administrativos de los planteles educativos que a 1° de noviembre de 2000 se encontraban contratados en departamentos y municipios por órdenes de prestación de servicios, y que cumplan los requisitos para el ejercicio del respectivo cargo, y cuyos contratos no fueron renovados en el 2001, serán vinculados durante el año 2002 de manera provisional, previa identificación y verificación de requisitos, salvo que sus contratos hayan sido suprimidos como resultado del proceso de reorganización del sector educativo o de la entidad territorial</w:t>
      </w:r>
      <w:r w:rsidRPr="00A524F8">
        <w:rPr>
          <w:rFonts w:ascii="Arial" w:eastAsia="Times New Roman" w:hAnsi="Arial" w:cs="Arial"/>
          <w:kern w:val="0"/>
          <w:szCs w:val="24"/>
          <w:lang w:eastAsia="es-ES"/>
        </w:rPr>
        <w:t>.</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 xml:space="preserve">Texto Subrayado declarado EXEQUIBLE por la Corte Constitucional mediante </w:t>
      </w:r>
      <w:hyperlink r:id="rId67" w:anchor="0" w:history="1">
        <w:r w:rsidRPr="00A524F8">
          <w:rPr>
            <w:rFonts w:ascii="Arial" w:eastAsia="Times New Roman" w:hAnsi="Arial" w:cs="Arial"/>
            <w:color w:val="0000FF"/>
            <w:kern w:val="0"/>
            <w:szCs w:val="24"/>
            <w:u w:val="single"/>
            <w:lang w:eastAsia="es-ES"/>
          </w:rPr>
          <w:t>Sentencia C-793 de 2002</w:t>
        </w:r>
      </w:hyperlink>
      <w:r w:rsidRPr="00A524F8">
        <w:rPr>
          <w:rFonts w:ascii="Arial" w:eastAsia="Times New Roman" w:hAnsi="Arial" w:cs="Arial"/>
          <w:b/>
          <w:bCs/>
          <w:kern w:val="0"/>
          <w:szCs w:val="24"/>
          <w:lang w:eastAsia="es-ES"/>
        </w:rPr>
        <w:t xml:space="preserve">, excepto el Texto resaltado que se declaró INEXEQUIBLE. </w:t>
      </w:r>
      <w:r w:rsidRPr="00A524F8">
        <w:rPr>
          <w:rFonts w:ascii="Arial" w:eastAsia="Times New Roman" w:hAnsi="Arial" w:cs="Arial"/>
          <w:b/>
          <w:bCs/>
          <w:kern w:val="0"/>
          <w:szCs w:val="24"/>
          <w:lang w:eastAsia="es-ES"/>
        </w:rPr>
        <w:br/>
      </w:r>
      <w:r w:rsidRPr="00A524F8">
        <w:rPr>
          <w:rFonts w:ascii="Arial" w:eastAsia="Times New Roman" w:hAnsi="Arial" w:cs="Arial"/>
          <w:b/>
          <w:bCs/>
          <w:kern w:val="0"/>
          <w:szCs w:val="24"/>
          <w:lang w:eastAsia="es-ES"/>
        </w:rPr>
        <w:br/>
        <w:t>Parágrafo 1°</w:t>
      </w:r>
      <w:r w:rsidRPr="00A524F8">
        <w:rPr>
          <w:rFonts w:ascii="Arial" w:eastAsia="Times New Roman" w:hAnsi="Arial" w:cs="Arial"/>
          <w:kern w:val="0"/>
          <w:szCs w:val="24"/>
          <w:lang w:eastAsia="es-ES"/>
        </w:rPr>
        <w:t>. Para los efectos del presente artículo los servidores públicos que realicen funciones de celaduría y aseo se consideran funcionarios administrativos.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Para los efectos de la presente ley se entiende por orden de prestación de servicios toda relación contractual directa entre un departamento o municipio y un docente o administrativo para la prestación de servicios de enseñanza o administrativos en una institución educativa oficial, por un término no inferior a cuatro meses, con dedicación de tiempo completo, exceptuando los que se nombran o contratan para reemplazar docentes, directivos docentes o administrativos en licencia, horas cátedra y otra modalidad que no implique vinculación de tiempo completo.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68" w:anchor="1" w:history="1">
        <w:r w:rsidRPr="00A524F8">
          <w:rPr>
            <w:rFonts w:ascii="Arial" w:eastAsia="Times New Roman" w:hAnsi="Arial" w:cs="Arial"/>
            <w:color w:val="0000FF"/>
            <w:kern w:val="0"/>
            <w:szCs w:val="24"/>
            <w:u w:val="single"/>
            <w:lang w:eastAsia="es-ES"/>
          </w:rPr>
          <w:t>Ver el Decreto Nacional 688 de 2002</w:t>
        </w:r>
      </w:hyperlink>
      <w:r w:rsidRPr="00A524F8">
        <w:rPr>
          <w:rFonts w:ascii="Arial" w:eastAsia="Times New Roman" w:hAnsi="Arial" w:cs="Arial"/>
          <w:kern w:val="0"/>
          <w:szCs w:val="24"/>
          <w:lang w:eastAsia="es-ES"/>
        </w:rPr>
        <w:t xml:space="preserve"> , </w:t>
      </w:r>
      <w:hyperlink r:id="rId69" w:anchor="1" w:history="1">
        <w:r w:rsidRPr="00A524F8">
          <w:rPr>
            <w:rFonts w:ascii="Arial" w:eastAsia="Times New Roman" w:hAnsi="Arial" w:cs="Arial"/>
            <w:color w:val="0000FF"/>
            <w:kern w:val="0"/>
            <w:szCs w:val="24"/>
            <w:u w:val="single"/>
            <w:lang w:eastAsia="es-ES"/>
          </w:rPr>
          <w:t>Ver el Decreto Nacional 1278 de 2002</w:t>
        </w:r>
      </w:hyperlink>
      <w:r w:rsidRPr="00A524F8">
        <w:rPr>
          <w:rFonts w:ascii="Arial" w:eastAsia="Times New Roman" w:hAnsi="Arial" w:cs="Arial"/>
          <w:kern w:val="0"/>
          <w:szCs w:val="24"/>
          <w:lang w:eastAsia="es-ES"/>
        </w:rPr>
        <w:t xml:space="preserve"> , </w:t>
      </w:r>
      <w:hyperlink r:id="rId70" w:anchor="1" w:history="1">
        <w:r w:rsidRPr="00A524F8">
          <w:rPr>
            <w:rFonts w:ascii="Arial" w:eastAsia="Times New Roman" w:hAnsi="Arial" w:cs="Arial"/>
            <w:color w:val="0000FF"/>
            <w:kern w:val="0"/>
            <w:szCs w:val="24"/>
            <w:u w:val="single"/>
            <w:lang w:eastAsia="es-ES"/>
          </w:rPr>
          <w:t xml:space="preserve">Ver el Decreto Distrital 140 de 2002 </w:t>
        </w:r>
      </w:hyperlink>
      <w:r w:rsidRPr="00A524F8">
        <w:rPr>
          <w:rFonts w:ascii="Arial" w:eastAsia="Times New Roman" w:hAnsi="Arial" w:cs="Arial"/>
          <w:kern w:val="0"/>
          <w:szCs w:val="24"/>
          <w:lang w:eastAsia="es-ES"/>
        </w:rPr>
        <w:t xml:space="preserve">, </w:t>
      </w:r>
      <w:hyperlink r:id="rId71" w:anchor="1" w:history="1">
        <w:r w:rsidRPr="00A524F8">
          <w:rPr>
            <w:rFonts w:ascii="Arial" w:eastAsia="Times New Roman" w:hAnsi="Arial" w:cs="Arial"/>
            <w:color w:val="0000FF"/>
            <w:kern w:val="0"/>
            <w:szCs w:val="24"/>
            <w:u w:val="single"/>
            <w:lang w:eastAsia="es-ES"/>
          </w:rPr>
          <w:t>Ver Art. 7 Decreto 1528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Artículo 39.</w:t>
      </w:r>
      <w:r w:rsidRPr="00A524F8">
        <w:rPr>
          <w:rFonts w:ascii="Arial" w:eastAsia="Times New Roman" w:hAnsi="Arial" w:cs="Arial"/>
          <w:kern w:val="0"/>
          <w:szCs w:val="24"/>
          <w:lang w:eastAsia="es-ES"/>
        </w:rPr>
        <w:t xml:space="preserve"> Supervisores y directores de núcleo. El Gobierno Nacional reglamentará los procedimientos para la inspección, supervisión y vigilancia de la educación, y la destinación y provisión de las vacantes de los cargos de supervisores y directores de núcleo educativo existentes y las que se generen a partir de la vigencia de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departamentos, distritos y municipios certificados organizarán para la administración de la educación en su jurisdicción, núcleos educativos u otra modalidad de coordinación en función de las necesidades del servicio.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autoridades departamentales, distritales y de los municipios certificados podrán asignar funciones administrativas, académicas o pedagógicas, a los actuales docentes directivos que se desempeñen como supervisores y directores de núcleo educativo.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72" w:anchor="0" w:history="1">
        <w:r w:rsidRPr="00A524F8">
          <w:rPr>
            <w:rFonts w:ascii="Arial" w:eastAsia="Times New Roman" w:hAnsi="Arial" w:cs="Arial"/>
            <w:color w:val="0000FF"/>
            <w:kern w:val="0"/>
            <w:szCs w:val="24"/>
            <w:u w:val="single"/>
            <w:lang w:eastAsia="es-ES"/>
          </w:rPr>
          <w:t>Ver la Directiva del Ministerio de Educación 15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40.</w:t>
      </w:r>
      <w:r w:rsidRPr="00A524F8">
        <w:rPr>
          <w:rFonts w:ascii="Arial" w:eastAsia="Times New Roman" w:hAnsi="Arial" w:cs="Arial"/>
          <w:kern w:val="0"/>
          <w:szCs w:val="24"/>
          <w:lang w:eastAsia="es-ES"/>
        </w:rPr>
        <w:t xml:space="preserve"> Competencias transitorias de la Nación. Durante el período de transición la Nación tendrá como competencias especiales: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40.1. Fijar procedimientos y límites para la elaboración de las plantas de cargos docentes y administrativos por municipio y distrito, en forma tal que todos los distritos y municipios cuenten con una equitativa distribución de plantas de cargos docentes y administrativos de los planteles educativos, atendiendo las distintas tipologías.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40.2. Fijar las plantas de personal en las entidades territoriales atendiendo a las relaciones técnicas establecidas.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40.3. Autorizar y trasladar las plazas excedentes a los municipios donde se requieran.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Cuando se requieran traslados de plazas de docentes y directivos docentes entre departamentos, se trasladarán en el siguiente orden de prioridad: vacantes, plazas recién provistas por la incorporación de quienes tenían orden de prestación de servicios, docentes vinculados con una antigüedad no mayor de 5 años. Los traslados de docentes procederán según lo previsto en el artículo 22 y en las normas que lo reglamenten. Los traslados de docentes y directivos docentes en carrera serán realizados por la respectiva autoridad nominadora.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La Nación podrá, por una sola vez, establecer incentivos para los docentes, directivos y administrativos vinculados a la fecha de expedición de la presente ley, que voluntariamente acepten traslados interdepartamentales, con cargo al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73" w:anchor="0" w:history="1">
        <w:r w:rsidRPr="00A524F8">
          <w:rPr>
            <w:rFonts w:ascii="Arial" w:eastAsia="Times New Roman" w:hAnsi="Arial" w:cs="Arial"/>
            <w:color w:val="0000FF"/>
            <w:kern w:val="0"/>
            <w:szCs w:val="24"/>
            <w:u w:val="single"/>
            <w:lang w:eastAsia="es-ES"/>
          </w:rPr>
          <w:t>Ver la Directiva del Ministerio de Educación 15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25" w:name="41"/>
      <w:r w:rsidRPr="00A524F8">
        <w:rPr>
          <w:rFonts w:ascii="Arial" w:eastAsia="Times New Roman" w:hAnsi="Arial" w:cs="Arial"/>
          <w:b/>
          <w:bCs/>
          <w:kern w:val="0"/>
          <w:szCs w:val="24"/>
          <w:lang w:eastAsia="es-ES"/>
        </w:rPr>
        <w:t> </w:t>
      </w:r>
      <w:bookmarkEnd w:id="25"/>
      <w:r w:rsidRPr="00A524F8">
        <w:rPr>
          <w:rFonts w:ascii="Arial" w:eastAsia="Times New Roman" w:hAnsi="Arial" w:cs="Arial"/>
          <w:b/>
          <w:bCs/>
          <w:kern w:val="0"/>
          <w:szCs w:val="24"/>
          <w:lang w:eastAsia="es-ES"/>
        </w:rPr>
        <w:t xml:space="preserve">41. </w:t>
      </w:r>
      <w:hyperlink r:id="rId74" w:anchor="1" w:history="1">
        <w:r w:rsidRPr="00A524F8">
          <w:rPr>
            <w:rFonts w:ascii="Arial" w:eastAsia="Times New Roman" w:hAnsi="Arial" w:cs="Arial"/>
            <w:color w:val="0000FF"/>
            <w:kern w:val="0"/>
            <w:szCs w:val="24"/>
            <w:u w:val="single"/>
            <w:lang w:eastAsia="es-ES"/>
          </w:rPr>
          <w:t>Reglamentado Parcialmente por el Decreto Nacional 0457 de 2002</w:t>
        </w:r>
      </w:hyperlink>
      <w:r w:rsidRPr="00A524F8">
        <w:rPr>
          <w:rFonts w:ascii="Arial" w:eastAsia="Times New Roman" w:hAnsi="Arial" w:cs="Arial"/>
          <w:kern w:val="0"/>
          <w:szCs w:val="24"/>
          <w:lang w:eastAsia="es-ES"/>
        </w:rPr>
        <w:t xml:space="preserve"> , </w:t>
      </w:r>
      <w:hyperlink r:id="rId75" w:anchor="1" w:history="1">
        <w:r w:rsidRPr="00A524F8">
          <w:rPr>
            <w:rFonts w:ascii="Arial" w:eastAsia="Times New Roman" w:hAnsi="Arial" w:cs="Arial"/>
            <w:color w:val="0000FF"/>
            <w:kern w:val="0"/>
            <w:szCs w:val="24"/>
            <w:u w:val="single"/>
            <w:lang w:eastAsia="es-ES"/>
          </w:rPr>
          <w:t>Reglamentado Parcialmente por el Decreto Nacional 850 de 2003</w:t>
        </w:r>
      </w:hyperlink>
      <w:r w:rsidRPr="00A524F8">
        <w:rPr>
          <w:rFonts w:ascii="Arial" w:eastAsia="Times New Roman" w:hAnsi="Arial" w:cs="Arial"/>
          <w:kern w:val="0"/>
          <w:szCs w:val="24"/>
          <w:lang w:eastAsia="es-ES"/>
        </w:rPr>
        <w:t xml:space="preserve">, </w:t>
      </w:r>
      <w:hyperlink r:id="rId76" w:anchor="0" w:history="1">
        <w:r w:rsidRPr="00A524F8">
          <w:rPr>
            <w:rFonts w:ascii="Arial" w:eastAsia="Times New Roman" w:hAnsi="Arial" w:cs="Arial"/>
            <w:color w:val="0000FF"/>
            <w:kern w:val="0"/>
            <w:szCs w:val="24"/>
            <w:u w:val="single"/>
            <w:lang w:eastAsia="es-ES"/>
          </w:rPr>
          <w:t>Reglamentado Parcialmente por el Decreto Nacional 3940 de 2007</w:t>
        </w:r>
      </w:hyperlink>
      <w:r w:rsidRPr="00A524F8">
        <w:rPr>
          <w:rFonts w:ascii="Arial" w:eastAsia="Times New Roman" w:hAnsi="Arial" w:cs="Arial"/>
          <w:kern w:val="0"/>
          <w:szCs w:val="24"/>
          <w:lang w:eastAsia="es-ES"/>
        </w:rPr>
        <w:t>. De la certificación y la asignación de recursos. A partir del año 2002 quedan certificados en virtud de la presente ley los departamentos y los distritos. Durante dicho año se certificarán los municipios mayores de 100.000 habitantes, los municipios que a la vigencia de la presente ley tengan resolución del Ministerio de Educación Nacional que acredite el cumplimiento de los requisitos para la certificación y aquellos que cumplan los requisitos que para la certificación señale el Gobierno Nacional.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departamentos, distritos y los municipios certificados recibirán durante el año 2002 un monto igual al costo en términos reales de la prestación del servicio educativo en su territorio durante el año 2001, financiado con recursos del situado fiscal, recursos adicionales del situado fiscal, participaciones de los distritos y capitales en los ingresos corrientes de la nación y los recursos propios departamentales y municipales que financiaron los costos autorizados en el inciso segundo del parágrafo 1° del artículo 357 de la Constitución. A los departamentos se les descontarán los recursos destinados a los municipios que se hayan certificado.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no certificados recibirán durante el año 2002, un monto igual al costo en términos reales de la prestación del servicio educativo en su territorio durante el año 2001, financiado con la participación municipal en los ingresos corrientes de la Nación y con los recursos propios que financiaron los costos autorizados en el inciso segundo del parágrafo 1° del artículo 357 de la Constitución.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 partir del año 2003 que dan certificados en virtud de la presente ley todos los municipios mayores de 100.000 habitantes, y aquellos que cumplan los requisitos exigidos para la certificación.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el año 2003 a las entidades territoriales certificadas en virtud de la ley, se les transferirá el valor correspondiente a los costos del año 2002 en términos reales derivados de la información ajustada de los costos. A los departamentos se les transferirá el valor correspondiente a los costos en términos reales del año 2002, derivados de la información ajustada de los costos del departamento y de los municipios no certificados, descontando los destinados a los municipios que se hayan certificado.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que en términos reales se utilizaron para financiar inversiones de calidad en los municipios y distritos durante la vigencia 2002, se distribuirán por alumno atendido entre los distritos y municipios.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del año 2002 y 2003 se transferirán a la entidad territorial mediante doceavas partes hasta completar el 70% del costo estimado de la prestación del servicio educativo de la vigencia inmediatamente anterior. El saldo se transferirá una vez sea evaluada la información sobre los costos remitida por las entidades territoriales y de conformidad con ésta.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Si llegare a haber excedentes una vez financiados los costos mencionados anteriormente, los recursos adicionales los distribuirá el Conpes entre distritos y </w:t>
      </w:r>
      <w:r w:rsidRPr="00A524F8">
        <w:rPr>
          <w:rFonts w:ascii="Arial" w:eastAsia="Times New Roman" w:hAnsi="Arial" w:cs="Arial"/>
          <w:kern w:val="0"/>
          <w:szCs w:val="24"/>
          <w:lang w:eastAsia="es-ES"/>
        </w:rPr>
        <w:lastRenderedPageBreak/>
        <w:t>municipios, para ampliación de cobertura o mejoramiento de calidad, atendiendo los criterios de población atendida y por atender.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 partir del año 2004, la distribución de recursos se realizará siguiendo las fórmulas y criterios previstos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Nación podrá aplicar las fórmulas y criterios de distribución señaladas en la presente ley en cualquier momento antes del vencimiento del término de transición establecido en ella, para todas las entidades territoriales o para aquellas que cumplan las condiciones técnicas que señale el reglamento. En este caso no aplicarán las disposiciones de la transición para la asignación de recursos.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el caso de los Distritos no habrá transición y los recursos se girarán atendiendo las fórmulas y procedimientos establecidos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todo caso durante la transición los distritos recibirán recursos del Sistema General de Participaciones que representarán un tratamiento equitativo con respecto a las demás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Cualquier falsedad en la información se considerará falsedad en documento público y se sancionará de conformidad con la ley penal.</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T I T U L O III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SECTOR SALUD</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Competencias de la Nación en el sector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26" w:name="42"/>
      <w:r w:rsidRPr="00A524F8">
        <w:rPr>
          <w:rFonts w:ascii="Arial" w:eastAsia="Times New Roman" w:hAnsi="Arial" w:cs="Arial"/>
          <w:b/>
          <w:bCs/>
          <w:kern w:val="0"/>
          <w:szCs w:val="24"/>
          <w:lang w:eastAsia="es-ES"/>
        </w:rPr>
        <w:t> </w:t>
      </w:r>
      <w:bookmarkEnd w:id="26"/>
      <w:r w:rsidRPr="00A524F8">
        <w:rPr>
          <w:rFonts w:ascii="Arial" w:eastAsia="Times New Roman" w:hAnsi="Arial" w:cs="Arial"/>
          <w:b/>
          <w:bCs/>
          <w:kern w:val="0"/>
          <w:szCs w:val="24"/>
          <w:lang w:eastAsia="es-ES"/>
        </w:rPr>
        <w:t>42.</w:t>
      </w:r>
      <w:r w:rsidRPr="00A524F8">
        <w:rPr>
          <w:rFonts w:ascii="Arial" w:eastAsia="Times New Roman" w:hAnsi="Arial" w:cs="Arial"/>
          <w:kern w:val="0"/>
          <w:szCs w:val="24"/>
          <w:lang w:eastAsia="es-ES"/>
        </w:rPr>
        <w:t>  </w:t>
      </w:r>
      <w:hyperlink r:id="rId77" w:anchor="0" w:history="1">
        <w:r w:rsidRPr="00A524F8">
          <w:rPr>
            <w:rFonts w:ascii="Arial" w:eastAsia="Times New Roman" w:hAnsi="Arial" w:cs="Arial"/>
            <w:color w:val="0000FF"/>
            <w:kern w:val="0"/>
            <w:szCs w:val="24"/>
            <w:u w:val="single"/>
            <w:lang w:eastAsia="es-ES"/>
          </w:rPr>
          <w:t>Reglamentado parcialmente por el Decreto Nacional 2193 de 2004</w:t>
        </w:r>
      </w:hyperlink>
      <w:r w:rsidRPr="00A524F8">
        <w:rPr>
          <w:rFonts w:ascii="Arial" w:eastAsia="Times New Roman" w:hAnsi="Arial" w:cs="Arial"/>
          <w:kern w:val="0"/>
          <w:szCs w:val="24"/>
          <w:lang w:eastAsia="es-ES"/>
        </w:rPr>
        <w:t>. Competencias en salud por parte de la Nación. Corresponde a la Nación la dirección del sector salud y del Sistema General de Seguridad Social en Salud en el territorio nacional, de acuerdo con la diversidad regional y el ejercicio de las siguientes competencias, sin perjuicio de las asignadas en otras disposiciones: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42.1. Formular las políticas, planes, programas y proyectos de interés nacional para el sector salud y el Sistema General de Seguridad Social en Salud y coordinar su ejecución, seguimiento y evaluación.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42.2. Impulsar, coordinar, financiar, cofinanciar y evaluar programas, planes y proyectos de inversión en materia de salud, con recursos diferentes a los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42.3 Expedir la regulación para el sector salud y el Sistema General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42.4. Brindar asesoría y asistencia técnica a los departamentos, distritos y municipios para el desarrollo e implantación de las políticas, planes, programas y proyectos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42.5. Definir y aplicar sistemas de evaluación y control de gestión técnica, financiera y administrativa a las instituciones que participan en el sector y en el Sistema General de Seguridad Social en Salud; así como divulgar sus resultados, con la participación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42.6. Definir, diseñar, reglamentar, implantar y administrar el Sistema Integral de Información en Salud y el Sistema de Vigilancia en Salud Pública, con la participación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bookmarkStart w:id="27" w:name="42.7"/>
      <w:r w:rsidRPr="00A524F8">
        <w:rPr>
          <w:rFonts w:ascii="Arial" w:eastAsia="Times New Roman" w:hAnsi="Arial" w:cs="Arial"/>
          <w:kern w:val="0"/>
          <w:szCs w:val="24"/>
          <w:lang w:eastAsia="es-ES"/>
        </w:rPr>
        <w:t> </w:t>
      </w:r>
      <w:bookmarkEnd w:id="27"/>
      <w:r w:rsidRPr="00A524F8">
        <w:rPr>
          <w:rFonts w:ascii="Arial" w:eastAsia="Times New Roman" w:hAnsi="Arial" w:cs="Arial"/>
          <w:kern w:val="0"/>
          <w:szCs w:val="24"/>
          <w:lang w:eastAsia="es-ES"/>
        </w:rPr>
        <w:t xml:space="preserve">42.7. Reglamentar, distribuir, vigilar y controlar el manejo y la destinación de los recursos del Sistema General de Participaciones en Salud y del Sistema General de Seguridad Social en Salud, sin perjuicio de las competencias de las entidades territoriales en la materia. </w:t>
      </w:r>
      <w:hyperlink r:id="rId78" w:anchor="0" w:history="1">
        <w:r w:rsidRPr="00A524F8">
          <w:rPr>
            <w:rFonts w:ascii="Arial" w:eastAsia="Times New Roman" w:hAnsi="Arial" w:cs="Arial"/>
            <w:color w:val="0000FF"/>
            <w:kern w:val="0"/>
            <w:szCs w:val="24"/>
            <w:u w:val="single"/>
            <w:lang w:eastAsia="es-ES"/>
          </w:rPr>
          <w:t>Ver el Decreto Nacional 1281 de 2002</w:t>
        </w:r>
      </w:hyperlink>
      <w:r w:rsidRPr="00A524F8">
        <w:rPr>
          <w:rFonts w:ascii="Arial" w:eastAsia="Times New Roman" w:hAnsi="Arial" w:cs="Arial"/>
          <w:kern w:val="0"/>
          <w:szCs w:val="24"/>
          <w:lang w:eastAsia="es-ES"/>
        </w:rPr>
        <w:t xml:space="preserve">, </w:t>
      </w:r>
      <w:hyperlink r:id="rId79" w:anchor="0" w:history="1">
        <w:r w:rsidRPr="00A524F8">
          <w:rPr>
            <w:rFonts w:ascii="Arial" w:eastAsia="Times New Roman" w:hAnsi="Arial" w:cs="Arial"/>
            <w:color w:val="0000FF"/>
            <w:kern w:val="0"/>
            <w:szCs w:val="24"/>
            <w:u w:val="single"/>
            <w:lang w:eastAsia="es-ES"/>
          </w:rPr>
          <w:t>Ver el Decreto Nacional 1965 de 2010</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42.8.  </w:t>
      </w:r>
      <w:hyperlink r:id="rId80" w:anchor="0" w:history="1">
        <w:r w:rsidRPr="00A524F8">
          <w:rPr>
            <w:rFonts w:ascii="Arial" w:eastAsia="Times New Roman" w:hAnsi="Arial" w:cs="Arial"/>
            <w:color w:val="0000FF"/>
            <w:kern w:val="0"/>
            <w:szCs w:val="24"/>
            <w:u w:val="single"/>
            <w:lang w:eastAsia="es-ES"/>
          </w:rPr>
          <w:t>Reglamentado parcialmente por el Decreto Nacional 3557 de 2008</w:t>
        </w:r>
      </w:hyperlink>
      <w:r w:rsidRPr="00A524F8">
        <w:rPr>
          <w:rFonts w:ascii="Arial" w:eastAsia="Times New Roman" w:hAnsi="Arial" w:cs="Arial"/>
          <w:kern w:val="0"/>
          <w:szCs w:val="24"/>
          <w:lang w:eastAsia="es-ES"/>
        </w:rPr>
        <w:t>. Establecer los procedimientos y reglas para la intervención técnica y/o administrativa de las instituciones que manejan recursos del Sistema General de Seguridad Social en Salud, sea para su liquidación o administración a través de la Superintendencia Nacional de Salud en los términos que señale el reglamento. El Gobierno Nacional en un término máximo de un año deberá expedir la reglamentación respectiva.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42.9. Establecer las reglas y procedimientos para la liquidación de instituciones que manejan recursos del sector salud, que sean intervenidas para tal fin.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42.10. Definir en el primer año de vigencia de la presente ley el Sistema Unico de Habilitación, el Sistema de Garantía de la Calidad y el Sistema Unico de Acreditación de Instituciones Prestadoras de Salud, Entidades Promotoras de Salud y otras Instituciones que manejan recursos del Sistema General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42.11. Establecer mecanismos y estrategias de participación social y promover el ejercicio pleno de los deberes y derechos de los ciudadanos en materia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42.12. Definir las prioridades de la Nación y de las entidades territoriales en materia de salud pública y las acciones de obligatorio cumplimiento del Plan de Atención Básica (PAB), así como dirigir y coordinar la red nacional de laboratorios de salud pública, con la participación de las entidades territoriales. </w:t>
      </w:r>
      <w:hyperlink r:id="rId81" w:anchor="1" w:history="1">
        <w:r w:rsidRPr="00A524F8">
          <w:rPr>
            <w:rFonts w:ascii="Arial" w:eastAsia="Times New Roman" w:hAnsi="Arial" w:cs="Arial"/>
            <w:color w:val="0000FF"/>
            <w:kern w:val="0"/>
            <w:szCs w:val="24"/>
            <w:u w:val="single"/>
            <w:lang w:eastAsia="es-ES"/>
          </w:rPr>
          <w:t>Ver art. 10, Ley 691 de 2001</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42.13 Adquirir, distribuir y garantizar el suministro oportuno de los biológicos del Plan Ampliado de Inmunizaciones (PAI), los insumos críticos para el control de vectores y los medicamentos para el manejo de los esquemas básicos de las enfermedades transmisibles y de control especial.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42.14. Definir, implantar y evaluar la Política de Prestación de Servicios de Salud. En ejercicio de esta facultad regulará la oferta pública y privada de servicios, estableciendo las normas para controlar su crecimiento, mecanismos para la libre elección de prestadores por parte de los usuarios y la garantía de la calidad; así como la promoción de la organización de redes de prestación de servicios de salud, entre otros.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42.15. Establecer, dentro del año siguiente a la vigencia de la presente ley, el régimen para la habilitación de las instituciones prestadoras de servicio de salud en lo relativo a la construcción, remodelación y la ampliación o creación de nuevos servicios en los ya existentes, de acuerdo con la red de prestación de servicios pública y privada existente en el ámbito del respectivo departamento o distrito, atendiendo criterios de eficiencia, calidad y suficiencia.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42.16. Prestar los servicios especializados a través de las instituciones adscritas: Instituto Nacional de Cancerología, el Centro Dermatológico Federico Lleras Acosta y los Sanatorios de Contratación y Agua de Dios, así como el reconocimiento y pago de los subsidios a la población enferma de Hansen, de conformidad con las disposiciones legales vigentes.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Nación definirá los mecanismos y la organización de la red cancerológica nacional y podrá concurrir en su financiación. Los Sanatorios de Agua de Dios y Contratación prestarán los servicios médicos especializados a los enfermos de Hansen.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departamentos de Cundinamarca y Santander podrán contratar la atención especializada para vinculados y lo no contemplado en el POS-Subsidiado con los Sanatorios de Agua de Dios y Contratación.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42.17. Expedir la reglamentación para el control de la evasión y la elusión de los aportes al Sistema General de Seguridad Social en Salud y las demás rentas complementarias a la participación para salud que financian este servicio. </w:t>
      </w:r>
      <w:hyperlink r:id="rId82" w:anchor="1" w:history="1">
        <w:r w:rsidRPr="00A524F8">
          <w:rPr>
            <w:rFonts w:ascii="Arial" w:eastAsia="Times New Roman" w:hAnsi="Arial" w:cs="Arial"/>
            <w:color w:val="0000FF"/>
            <w:kern w:val="0"/>
            <w:szCs w:val="24"/>
            <w:u w:val="single"/>
            <w:lang w:eastAsia="es-ES"/>
          </w:rPr>
          <w:t>Ver Decreto Nacional 1703 de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42.18. Reglamentar el uso de los recursos destinados por las entidades territoriales para financiar los tribunales seccionales de ética médica y odontológica;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42.19. Podrá concurrir en la financiación de las inversiones necesarias para la organización funcional y administrativa de la red de instituciones prestadoras de servicios de salud a su cargo.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42.20. </w:t>
      </w:r>
      <w:bookmarkStart w:id="28" w:name="42-20"/>
      <w:r w:rsidRPr="00A524F8">
        <w:rPr>
          <w:rFonts w:ascii="Arial" w:eastAsia="Times New Roman" w:hAnsi="Arial" w:cs="Arial"/>
          <w:kern w:val="0"/>
          <w:szCs w:val="24"/>
          <w:lang w:eastAsia="es-ES"/>
        </w:rPr>
        <w:t> </w:t>
      </w:r>
      <w:bookmarkEnd w:id="28"/>
      <w:r w:rsidRPr="00A524F8">
        <w:rPr>
          <w:rFonts w:ascii="Arial" w:eastAsia="Times New Roman" w:hAnsi="Arial" w:cs="Arial"/>
          <w:kern w:val="0"/>
          <w:szCs w:val="24"/>
          <w:lang w:eastAsia="es-ES"/>
        </w:rPr>
        <w:t xml:space="preserve">Concurrir en la afiliación de la población pobre al régimen subsidiado mediante apropiaciones del presupuesto nacional, </w:t>
      </w:r>
      <w:r w:rsidRPr="00A524F8">
        <w:rPr>
          <w:rFonts w:ascii="Arial" w:eastAsia="Times New Roman" w:hAnsi="Arial" w:cs="Arial"/>
          <w:kern w:val="0"/>
          <w:szCs w:val="24"/>
          <w:u w:val="single"/>
          <w:lang w:eastAsia="es-ES"/>
        </w:rPr>
        <w:t>con un cuarto de punto (0.25) de lo aportado por los afiliados al régimen contributivo</w:t>
      </w:r>
      <w:r w:rsidRPr="00A524F8">
        <w:rPr>
          <w:rFonts w:ascii="Arial" w:eastAsia="Times New Roman" w:hAnsi="Arial" w:cs="Arial"/>
          <w:kern w:val="0"/>
          <w:szCs w:val="24"/>
          <w:lang w:eastAsia="es-ES"/>
        </w:rPr>
        <w:t>. </w:t>
      </w:r>
      <w:r w:rsidRPr="00A524F8">
        <w:rPr>
          <w:rFonts w:ascii="Arial" w:eastAsia="Times New Roman" w:hAnsi="Arial" w:cs="Arial"/>
          <w:b/>
          <w:bCs/>
          <w:kern w:val="0"/>
          <w:szCs w:val="24"/>
          <w:lang w:eastAsia="es-ES"/>
        </w:rPr>
        <w:t>Texto subrayado declarado INEXEQUIBLE por la Corte Constitucional mediante</w:t>
      </w:r>
      <w:r w:rsidRPr="00A524F8">
        <w:rPr>
          <w:rFonts w:ascii="Arial" w:eastAsia="Times New Roman" w:hAnsi="Arial" w:cs="Arial"/>
          <w:kern w:val="0"/>
          <w:szCs w:val="24"/>
          <w:lang w:eastAsia="es-ES"/>
        </w:rPr>
        <w:t xml:space="preserve"> </w:t>
      </w:r>
      <w:hyperlink r:id="rId83" w:anchor="0" w:history="1">
        <w:r w:rsidRPr="00A524F8">
          <w:rPr>
            <w:rFonts w:ascii="Arial" w:eastAsia="Times New Roman" w:hAnsi="Arial" w:cs="Arial"/>
            <w:color w:val="0000FF"/>
            <w:kern w:val="0"/>
            <w:szCs w:val="24"/>
            <w:u w:val="single"/>
            <w:lang w:eastAsia="es-ES"/>
          </w:rPr>
          <w:t>Sentencia C-040 de 2004</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42.21. </w:t>
      </w:r>
      <w:hyperlink r:id="rId84" w:anchor="32" w:history="1">
        <w:r w:rsidRPr="00A524F8">
          <w:rPr>
            <w:rFonts w:ascii="Arial" w:eastAsia="Times New Roman" w:hAnsi="Arial" w:cs="Arial"/>
            <w:color w:val="0000FF"/>
            <w:kern w:val="0"/>
            <w:szCs w:val="24"/>
            <w:u w:val="single"/>
            <w:lang w:eastAsia="es-ES"/>
          </w:rPr>
          <w:t>Adicionado por el art. 32, Ley 1176 de 2007</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lastRenderedPageBreak/>
        <w:t>CAPITULO II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Competencias de las entidades territoriales en el sector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43.</w:t>
      </w:r>
      <w:r w:rsidRPr="00A524F8">
        <w:rPr>
          <w:rFonts w:ascii="Arial" w:eastAsia="Times New Roman" w:hAnsi="Arial" w:cs="Arial"/>
          <w:kern w:val="0"/>
          <w:szCs w:val="24"/>
          <w:lang w:eastAsia="es-ES"/>
        </w:rPr>
        <w:t xml:space="preserve"> Competencias de los departamentos en salud. Sin perjuicio de las competencias establecidas en otras disposiciones legales, corresponde a los departamentos, dirigir, coordinar y vigilar el sector salud y el Sistema General de Seguridad Social en Salud en el territorio de su jurisdicción, atendiendo las disposiciones nacionales sobre la materia. Para tal efecto, se le asignan las siguientes funciones: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 De dirección del sector salud en el ámbito departamental.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43.1.1. Formular planes, programas y proyectos para el desarrollo del sector salud y del Sistema General de Seguridad Social en Salud en armonía con las disposiciones del orden nacional.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43.1.2. Adoptar, difundir, implantar, ejecutar y evaluar, en el ámbito departamental las normas, políticas, estrategias, planes, programas y proyectos del sector salud y del Sistema General de Seguridad Social en Salud, que formule y expida la Nación o en armonía con éstas.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43.1.3. Prestar asistencia técnica y asesoría a los municipios e instituciones públicas que prestan servicios de salud, en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43.1.4. Supervisar y controlar el recaudo y la aplicación de los recursos propios, los cedidos por la Nación y los del Sistema General de Participaciones con destinación específica para salud, y administrar los recursos del Fondo Departamental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43.1.5. Vigilar y controlar el cumplimiento de las políticas y normas técnicas, científicas y administrativas que expida el Ministerio de Salud, así como las actividades que desarrollan los municipios de su jurisdicción, para garantizar e l logro de las metas del sector salud y del Sistema General de Seguridad Social en Salud, sin perjuicio de las funciones de inspección y vigilancia atribuidas a las demás autoridades competentes.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43.1.6. Adoptar, implementar, administrar y coordinar la operación en su territorio del sistema integral de información en salud, así como generar y reportar la información requerida por el Sistema.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43.1.7. Promover la participación social y la promoción del ejercicio pleno de los deberes y derechos de los ciudadanos en materia de salud y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43.1.8. Financiar los tribunales seccionales de ética medica y odontológica y vigilar la correcta utilización de los recursos.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43.1.9. Promover planes, programas, estrategias y proyectos en salud para su inclusión en los planes y programas nacionales.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43.1.10. Ejecutar las acciones inherentes a la atención en salud de las personas declaradas por vía judicial como inimputables por trastorno mental o inmadurez psicológica, con los recursos nacionales de destinación específica que para tal efecto transfiera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 De prestación de servicios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43.2.1. Gestionar la prestación de los servicios de salud, de manera oportuna, eficiente y con calidad a la población pobre en lo no cubierto con subsidios a la demanda, que resida en su jurisdicción, mediante instituciones prestadoras de servicios de salud públicas o privadas.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43.2.2. Financiar con los recursos propios, si lo considera pertinente, con los recursos asignados por concepto de participaciones y demás recursos cedidos, la prestación de servicios de salud a la población pobre en lo no cubierto con subsidios a la demanda y los servicios de salud 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43.2.3. Adoptar, difundir, implantar, ejecutar y evaluar la Política de Prestación de Servicios de Salud, formulada por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43.2.4. Organizar, dirigir, coordinar y administrar la red de Instituciones Prestadoras de Servicios de Salud públicas en el departamento.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43.2.5. Concurrir en la financiación de las inversiones necesarias para la organización funcional y administrativa de la red de instituciones prestadoras de servicios de salud a su cargo.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43.2.6. Efectuar en su jurisdicción el registro de los prestadores públicos y privados de servicios de salud, recibir la declaración de requisitos esenciales para la prestación de los servicios y adelantar la vigilancia y el control correspondiente.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43.2.7. Preparar el plan bienal de inversiones públicas en salud, en el cual se incluirán las destinadas a infraestructura, dotación y equipos, de acuerdo con la Política de Prestación de Servicios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43.2.8. Vigilar el cumplimiento de las normas técnicas dictadas por la Nación para la construcción de obras civiles, dotaciones básicas y mantenimiento integral de las instituciones prestadoras de servicios de salud y de los centros de bienestar de anciano.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 De Salud 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43.3.1. Adoptar, difundir, implantar y ejecutar la política de salud pública formulada por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43.3.2. Garantizar la financiación y la prestación de los servicios de laboratorio de salud pública directamente o por contratación.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43.3.3. Establecer la situación de salud en el departamento y propender por su mejoramiento.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43.3.4. Formular y ejecutar el Plan de Atención Básica departamental.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43.3.5. Monitorear y evaluar la ejecución de los planes y acciones en salud pública de los municipios de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43.3.6. Dirigir y controlar dentro de su jurisdicción el Sistema de Vigilancia en Salud 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43.3.7. Vigilar y controlar, en coordinación con el Instituto Nacional para la Vigilancia de Medicamentos y Alimentos, Invima, y el Fondo Nacional de Estupefacientes, la producción, expendio, comercialización y distribución de medicamentos, incluyendo aquellos que causen dependencia o efectos psicoactivos potencialmente dañinos para la salud y sustancias potencialmente tóxicas.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43.3.8. Ejecutar las acciones de inspección, vigilancia y control de los factores de riesgo del ambiente que afectan la salud humana, y de control de vectores y zoonosis de competencia del sector salud, en coordinación con las autoridades ambientales, en los corregimientos departamentales y en los municipios de categorías 4ª, 5ª y 6ª de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43.3.9. Coordinar, supervisar y controlar las acciones de salud pública que realicen en su jurisdicción las Entidades Promotoras de Salud, las demás entidades que administran el régimen subsidiado, las entidades transformadas y adaptadas y aquellas que hacen parte de los regímenes especiales, así como las Instituciones Prestadoras de Servicios de Salud e instituciones relacionadas.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43.4. De Aseguramiento de la Población al Sistema General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43.4.1. Ejercer en su jurisdicción la vigilancia y el control del aseguramiento en el Sistema General de Seguridad Social en Salud y en los regímenes de excepción definidos en la Ley 100 de 1993.</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43.4.2. En el caso de los nuevos departamentos creados por la Constitución de 1991, administrar los recursos financieros del Sistema General de Participaciones en Salud destinados a financiar la afiliación al Régimen Subsidiado de la población pobre y vulnerable de los corregimientos departamentales, así como identificar y seleccionar los beneficiarios del subsidio y contratar su aseguramiento.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29" w:name="44"/>
      <w:r w:rsidRPr="00A524F8">
        <w:rPr>
          <w:rFonts w:ascii="Arial" w:eastAsia="Times New Roman" w:hAnsi="Arial" w:cs="Arial"/>
          <w:b/>
          <w:bCs/>
          <w:kern w:val="0"/>
          <w:szCs w:val="24"/>
          <w:lang w:eastAsia="es-ES"/>
        </w:rPr>
        <w:t> </w:t>
      </w:r>
      <w:bookmarkEnd w:id="29"/>
      <w:r w:rsidRPr="00A524F8">
        <w:rPr>
          <w:rFonts w:ascii="Arial" w:eastAsia="Times New Roman" w:hAnsi="Arial" w:cs="Arial"/>
          <w:b/>
          <w:bCs/>
          <w:kern w:val="0"/>
          <w:szCs w:val="24"/>
          <w:lang w:eastAsia="es-ES"/>
        </w:rPr>
        <w:t>44.</w:t>
      </w:r>
      <w:r w:rsidRPr="00A524F8">
        <w:rPr>
          <w:rFonts w:ascii="Arial" w:eastAsia="Times New Roman" w:hAnsi="Arial" w:cs="Arial"/>
          <w:kern w:val="0"/>
          <w:szCs w:val="24"/>
          <w:lang w:eastAsia="es-ES"/>
        </w:rPr>
        <w:t xml:space="preserve"> Competencias de los municipios. Corresponde a los municipios dirigir y coordinar el sector salud y el Sistema General de Seguridad Social en Salud en el ámbito de su jurisdicción, para lo cual cumplirán las siguientes funciones, sin perjuicio de las asignadas en otras disposiciones: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 xml:space="preserve">44.1. De dirección del sector en el ámbito municipal: </w:t>
      </w:r>
      <w:hyperlink r:id="rId85" w:anchor="0" w:history="1">
        <w:r w:rsidRPr="00A524F8">
          <w:rPr>
            <w:rFonts w:ascii="Arial" w:eastAsia="Times New Roman" w:hAnsi="Arial" w:cs="Arial"/>
            <w:color w:val="0000FF"/>
            <w:kern w:val="0"/>
            <w:szCs w:val="24"/>
            <w:u w:val="single"/>
            <w:lang w:eastAsia="es-ES"/>
          </w:rPr>
          <w:t xml:space="preserve">Ver el Decreto Distrital 112 de 2002 </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44.1.1. Formular, ejecutar y evaluar planes, programas y proyectos en salud, en armonía con las políticas y disposiciones del orden nacional y departamental.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44.1.2. Gestionar el recaudo, flujo y ejecución de los recursos con destinación específica para salud del municipio, y administrar los recursos del Fondo Local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44.1.3. Gestionar y supervisar el acceso a la prestación de los servicios de salud para la población de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44.1.4. Impulsar mecanismos para la adecuada participación social y el ejercicio pleno de los deberes y derechos de los ciudadanos en materia de salud y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44.1.5. Adoptar, administrar e implementar el sistema integral de información en salud, así como generar y reportar la información requerida por el Sistema.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44.1.6. Promover planes, programas, estrategias y proyectos en salud y seguridad social en salud para su inclusión en los planes y programas departamentales y nacionales.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44.1.7. </w:t>
      </w:r>
      <w:hyperlink r:id="rId86" w:anchor="33" w:history="1">
        <w:r w:rsidRPr="00A524F8">
          <w:rPr>
            <w:rFonts w:ascii="Arial" w:eastAsia="Times New Roman" w:hAnsi="Arial" w:cs="Arial"/>
            <w:color w:val="0000FF"/>
            <w:kern w:val="0"/>
            <w:szCs w:val="24"/>
            <w:u w:val="single"/>
            <w:lang w:eastAsia="es-ES"/>
          </w:rPr>
          <w:t>Adicionado por el art. 33, Ley 1176 de 2007</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44.2. De aseguramiento de la población al Sistema General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44.2.1. Financiar y cofinanciar la afiliación al Régimen Subsidiado de la población pobre y vulnerable y ejecutar eficientemente los recursos destinados a tal fin.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44.2.2. Identificar a la población pobre y vulnerable en su jurisdicción y seleccionar a los beneficiarios del Régimen Subsidiado, atendiendo las disposiciones que regulan la materia.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bookmarkStart w:id="30" w:name="44.2.3"/>
      <w:r w:rsidRPr="00A524F8">
        <w:rPr>
          <w:rFonts w:ascii="Arial" w:eastAsia="Times New Roman" w:hAnsi="Arial" w:cs="Arial"/>
          <w:kern w:val="0"/>
          <w:szCs w:val="24"/>
          <w:lang w:eastAsia="es-ES"/>
        </w:rPr>
        <w:t> </w:t>
      </w:r>
      <w:bookmarkEnd w:id="30"/>
      <w:r w:rsidRPr="00A524F8">
        <w:rPr>
          <w:rFonts w:ascii="Arial" w:eastAsia="Times New Roman" w:hAnsi="Arial" w:cs="Arial"/>
          <w:kern w:val="0"/>
          <w:szCs w:val="24"/>
          <w:lang w:eastAsia="es-ES"/>
        </w:rPr>
        <w:t>44.2.3. </w:t>
      </w:r>
      <w:hyperlink r:id="rId87" w:anchor="5" w:history="1">
        <w:r w:rsidRPr="00A524F8">
          <w:rPr>
            <w:rFonts w:ascii="Arial" w:eastAsia="Times New Roman" w:hAnsi="Arial" w:cs="Arial"/>
            <w:color w:val="0000FF"/>
            <w:kern w:val="0"/>
            <w:szCs w:val="24"/>
            <w:u w:val="single"/>
            <w:lang w:eastAsia="es-ES"/>
          </w:rPr>
          <w:t>Derogado por el art. 5, Decreto 132 de 2010</w:t>
        </w:r>
      </w:hyperlink>
      <w:r w:rsidRPr="00A524F8">
        <w:rPr>
          <w:rFonts w:ascii="Arial" w:eastAsia="Times New Roman" w:hAnsi="Arial" w:cs="Arial"/>
          <w:b/>
          <w:bCs/>
          <w:kern w:val="0"/>
          <w:szCs w:val="24"/>
          <w:lang w:eastAsia="es-ES"/>
        </w:rPr>
        <w:t>, a partir  del 1 de abril de 2010</w:t>
      </w:r>
      <w:r w:rsidRPr="00A524F8">
        <w:rPr>
          <w:rFonts w:ascii="Arial" w:eastAsia="Times New Roman" w:hAnsi="Arial" w:cs="Arial"/>
          <w:kern w:val="0"/>
          <w:szCs w:val="24"/>
          <w:lang w:eastAsia="es-ES"/>
        </w:rPr>
        <w:t>.  Celebrar contratos para el aseguramiento en el Régimen Subsidiado de la población pobre y vulnerable y realizar el seguimiento y control directamente o por medio de interventorías.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44.2.4. Promover en su jurisdicción la afiliación al Régimen Contributivo del Sistema General de Seguridad Social en Salud de las personas con capacidad de pago y evitar la evasión y elusión de aportes.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 De Salud 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44.3.1. Adoptar, implementar y adaptar las políticas y planes en salud pública de conformidad con las disposiciones del orden nacional y departamental, así como formular, ejecutar y evaluar el Plan de Atención Básica municipal.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44.3.2. Establecer la situación de salud en el municipio y propender por el mejoramiento de las condiciones determinantes de dicha situación. De igual forma, promoverá la coordinación, cooperación e integración funcional de los diferentes sectores para la formulación y ejecución de los planes, programas y proyectos en salud pública en su ámbito territorial.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44.3.3. Además de las funciones antes señaladas, los distritos y municipios de categoría especial, 1°, 2° y 3°, deberán ejercer las siguientes competencias de inspección, vigilancia y control de factores de riesgo que afecten la salud humana presentes en el ambiente, en coordinación con las autoridades ambientales.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44.3.3.1. Vigilar y controlar en su jurisdicción, la calidad, producción, comercialización y distribución de alimentos para consumo humano, con prioridad en los de alto riesgo epidemiológico, así como los de materia prima para consumo animal que representen riesgo para la salud humana.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44.3.3.2. Vigilar las condiciones ambientales que afectan la salud y el bienestar de la población generadas por ruido, tenencia de animales domésticos, basuras y olores, entre otros.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44.3.4. Formular y ejecutar las acciones de promoción, prevención, vigilancia y control de vectores y zoonosis.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piscinas, estadios, coliseos, gimnasios, bares, tabernas, supermercados y similares, plazas de mercado, de abasto público y plantas de sacrificio de animales, entre otros.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44.3.6. Cumplir y hacer cumplir en su jurisdicción las normas de orden sanitario previstas en la Ley 9ª de 1979 y su reglamentación o las que la modifiquen, adicionen o sustituyan.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w:t>
      </w:r>
      <w:r w:rsidRPr="00A524F8">
        <w:rPr>
          <w:rFonts w:ascii="Arial" w:eastAsia="Times New Roman" w:hAnsi="Arial" w:cs="Arial"/>
          <w:kern w:val="0"/>
          <w:szCs w:val="24"/>
          <w:lang w:eastAsia="es-ES"/>
        </w:rPr>
        <w:t>  </w:t>
      </w:r>
      <w:hyperlink r:id="rId88" w:anchor="0" w:history="1">
        <w:r w:rsidRPr="00A524F8">
          <w:rPr>
            <w:rFonts w:ascii="Arial" w:eastAsia="Times New Roman" w:hAnsi="Arial" w:cs="Arial"/>
            <w:color w:val="0000FF"/>
            <w:kern w:val="0"/>
            <w:szCs w:val="24"/>
            <w:u w:val="single"/>
            <w:lang w:eastAsia="es-ES"/>
          </w:rPr>
          <w:t>Reglamentado por el Decreto Nacional 3003 de 2005</w:t>
        </w:r>
      </w:hyperlink>
      <w:r w:rsidRPr="00A524F8">
        <w:rPr>
          <w:rFonts w:ascii="Arial" w:eastAsia="Times New Roman" w:hAnsi="Arial" w:cs="Arial"/>
          <w:kern w:val="0"/>
          <w:szCs w:val="24"/>
          <w:lang w:eastAsia="es-ES"/>
        </w:rPr>
        <w:t xml:space="preserve">. Los municipios certificados a 31 de julio de 2001 que hayan asumido la prestación de los servicios de salud, podrán continuar haciéndolo, si cumplen con la reglamentación que se establezca dentro del año siguiente a la expedición de </w:t>
      </w:r>
      <w:r w:rsidRPr="00A524F8">
        <w:rPr>
          <w:rFonts w:ascii="Arial" w:eastAsia="Times New Roman" w:hAnsi="Arial" w:cs="Arial"/>
          <w:kern w:val="0"/>
          <w:szCs w:val="24"/>
          <w:lang w:eastAsia="es-ES"/>
        </w:rPr>
        <w:lastRenderedPageBreak/>
        <w:t>la presente ley. Ningún municipio podrá asumir directamente nuevos servicios de salud ni ampliar los existentes y están obligados a articularse a la red departamental.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31" w:name="45"/>
      <w:r w:rsidRPr="00A524F8">
        <w:rPr>
          <w:rFonts w:ascii="Arial" w:eastAsia="Times New Roman" w:hAnsi="Arial" w:cs="Arial"/>
          <w:b/>
          <w:bCs/>
          <w:kern w:val="0"/>
          <w:szCs w:val="24"/>
          <w:lang w:eastAsia="es-ES"/>
        </w:rPr>
        <w:t> </w:t>
      </w:r>
      <w:bookmarkEnd w:id="31"/>
      <w:r w:rsidRPr="00A524F8">
        <w:rPr>
          <w:rFonts w:ascii="Arial" w:eastAsia="Times New Roman" w:hAnsi="Arial" w:cs="Arial"/>
          <w:b/>
          <w:bCs/>
          <w:kern w:val="0"/>
          <w:szCs w:val="24"/>
          <w:lang w:eastAsia="es-ES"/>
        </w:rPr>
        <w:t>45.</w:t>
      </w:r>
      <w:r w:rsidRPr="00A524F8">
        <w:rPr>
          <w:rFonts w:ascii="Arial" w:eastAsia="Times New Roman" w:hAnsi="Arial" w:cs="Arial"/>
          <w:kern w:val="0"/>
          <w:szCs w:val="24"/>
          <w:lang w:eastAsia="es-ES"/>
        </w:rPr>
        <w:t xml:space="preserve"> Competencias en salud por parte de los Distritos.  </w:t>
      </w:r>
      <w:hyperlink r:id="rId89" w:anchor="25" w:history="1">
        <w:r w:rsidRPr="00A524F8">
          <w:rPr>
            <w:rFonts w:ascii="Arial" w:eastAsia="Times New Roman" w:hAnsi="Arial" w:cs="Arial"/>
            <w:color w:val="0000FF"/>
            <w:kern w:val="0"/>
            <w:szCs w:val="24"/>
            <w:u w:val="single"/>
            <w:lang w:eastAsia="es-ES"/>
          </w:rPr>
          <w:t>Modificado por el art. 25, Ley 1176 de 2007</w:t>
        </w:r>
      </w:hyperlink>
      <w:r w:rsidRPr="00A524F8">
        <w:rPr>
          <w:rFonts w:ascii="Arial" w:eastAsia="Times New Roman" w:hAnsi="Arial" w:cs="Arial"/>
          <w:kern w:val="0"/>
          <w:szCs w:val="24"/>
          <w:lang w:eastAsia="es-ES"/>
        </w:rPr>
        <w:t>. Los distritos tendrán las mismas competencias que los municipios y departamentos, excepto aquellas que correspondan a la función de intermediación entre los municipios y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prestación de los servicios de salud en los distritos de Barranquilla, Cartagena y Santa Marta se articulará a la red de prestación de servicios de salud de los respectivos departamentos. En los mencionados distritos, el laboratorio departamental de salud pública cumplirá igualmente con las funciones de laboratorio distrital.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90" w:anchor="0" w:history="1">
        <w:r w:rsidRPr="00A524F8">
          <w:rPr>
            <w:rFonts w:ascii="Arial" w:eastAsia="Times New Roman" w:hAnsi="Arial" w:cs="Arial"/>
            <w:color w:val="0000FF"/>
            <w:kern w:val="0"/>
            <w:szCs w:val="24"/>
            <w:u w:val="single"/>
            <w:lang w:eastAsia="es-ES"/>
          </w:rPr>
          <w:t>Ver el Decreto Nacional 4973 de 2009</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32" w:name="46"/>
      <w:r w:rsidRPr="00A524F8">
        <w:rPr>
          <w:rFonts w:ascii="Arial" w:eastAsia="Times New Roman" w:hAnsi="Arial" w:cs="Arial"/>
          <w:b/>
          <w:bCs/>
          <w:kern w:val="0"/>
          <w:szCs w:val="24"/>
          <w:lang w:eastAsia="es-ES"/>
        </w:rPr>
        <w:t> </w:t>
      </w:r>
      <w:bookmarkEnd w:id="32"/>
      <w:r w:rsidRPr="00A524F8">
        <w:rPr>
          <w:rFonts w:ascii="Arial" w:eastAsia="Times New Roman" w:hAnsi="Arial" w:cs="Arial"/>
          <w:b/>
          <w:bCs/>
          <w:kern w:val="0"/>
          <w:szCs w:val="24"/>
          <w:lang w:eastAsia="es-ES"/>
        </w:rPr>
        <w:t>46.</w:t>
      </w:r>
      <w:r w:rsidRPr="00A524F8">
        <w:rPr>
          <w:rFonts w:ascii="Arial" w:eastAsia="Times New Roman" w:hAnsi="Arial" w:cs="Arial"/>
          <w:kern w:val="0"/>
          <w:szCs w:val="24"/>
          <w:lang w:eastAsia="es-ES"/>
        </w:rPr>
        <w:t xml:space="preserve"> Competencias en Salud Pública. La gestión en salud pública es función esencial del Estado y para tal fin la Nación y las entidades territoriales concurrirán en su ejecución en los términos señalados en la presente ley. Las entidades territoriales tendrán a su cargo la ejecución de las acciones de salud pública en la promoción y prevención dirigidas a la población de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distritos y municipios asumirán las acciones de promoción y prevención, que incluyen aquellas que a la fecha de entrar en vigencia la presente ley, hacían parte del Plan Obligatorio de Salud Subsidiado. Para tal fin, los recursos que financiaban estas acciones, se descontarán de la Unidad de Pago por Capitación del Régimen Subsidiado, en la proporción que defina el Consejo Nacional de Seguridad Social en Salud, con el fin de financiar estas acciones. Exceptúase de lo anterior, a las Administradoras del Régimen Subsidiado Indígenas y a las Entidades Promotoras de Salud Indígenas.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y distritos deberán elaborar e incorporar al Plan de Atención Básica las acciones señaladas en el presente artículo, el cual deberá ser elaborado con la participación de la comunidad y bajo la dirección del Consejo Territorial de Seguridad Social en Salud. A partir del año 2003, sin la existencia de este plan estos recursos se girarán directamente al departamento para su administración. Igual ocurrirá cuando la evaluación de la ejecución del plan no sea satisfactoria.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prestación de estas acciones se contratará prioritariamente con las instituciones prestadoras de servicios de salud públicas vinculadas a la entidad territorial, de acuerdo con su capacidad técnica y operativa.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Ministerio de Salud evaluará la ejecución de las disposiciones de este artículo tres años después de su vigencia y en ese plazo presentará un informe al Congreso y propondrá las modificaciones que se consideren necesarias.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91" w:anchor="1" w:history="1">
        <w:r w:rsidRPr="00A524F8">
          <w:rPr>
            <w:rFonts w:ascii="Arial" w:eastAsia="Times New Roman" w:hAnsi="Arial" w:cs="Arial"/>
            <w:color w:val="0000FF"/>
            <w:kern w:val="0"/>
            <w:szCs w:val="24"/>
            <w:u w:val="single"/>
            <w:lang w:eastAsia="es-ES"/>
          </w:rPr>
          <w:t>Ver arts. 12 y 14, Ley 691 de 2001</w:t>
        </w:r>
      </w:hyperlink>
      <w:r w:rsidRPr="00A524F8">
        <w:rPr>
          <w:rFonts w:ascii="Arial" w:eastAsia="Times New Roman" w:hAnsi="Arial" w:cs="Arial"/>
          <w:kern w:val="0"/>
          <w:szCs w:val="24"/>
          <w:lang w:eastAsia="es-ES"/>
        </w:rPr>
        <w:t xml:space="preserve">, </w:t>
      </w:r>
      <w:hyperlink r:id="rId92" w:anchor="0" w:history="1">
        <w:r w:rsidRPr="00A524F8">
          <w:rPr>
            <w:rFonts w:ascii="Arial" w:eastAsia="Times New Roman" w:hAnsi="Arial" w:cs="Arial"/>
            <w:color w:val="0000FF"/>
            <w:kern w:val="0"/>
            <w:szCs w:val="24"/>
            <w:u w:val="single"/>
            <w:lang w:eastAsia="es-ES"/>
          </w:rPr>
          <w:t>Ver el Acuerdo del C.N.S.S.S. 229 de 2002</w:t>
        </w:r>
      </w:hyperlink>
      <w:r w:rsidRPr="00A524F8">
        <w:rPr>
          <w:rFonts w:ascii="Arial" w:eastAsia="Times New Roman" w:hAnsi="Arial" w:cs="Arial"/>
          <w:kern w:val="0"/>
          <w:szCs w:val="24"/>
          <w:lang w:eastAsia="es-ES"/>
        </w:rPr>
        <w:t xml:space="preserve">, </w:t>
      </w:r>
      <w:r w:rsidRPr="00A524F8">
        <w:rPr>
          <w:rFonts w:ascii="Arial" w:eastAsia="Times New Roman" w:hAnsi="Arial" w:cs="Arial"/>
          <w:b/>
          <w:bCs/>
          <w:kern w:val="0"/>
          <w:szCs w:val="24"/>
          <w:lang w:eastAsia="es-ES"/>
        </w:rPr>
        <w:t>Ver el Decreto Nacional 2240 de 2010</w:t>
      </w:r>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lastRenderedPageBreak/>
        <w:t>CAPITULO III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Distribución de recursos para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93" w:anchor="1" w:history="1">
        <w:r w:rsidRPr="00A524F8">
          <w:rPr>
            <w:rFonts w:ascii="Arial" w:eastAsia="Times New Roman" w:hAnsi="Arial" w:cs="Arial"/>
            <w:color w:val="0000FF"/>
            <w:kern w:val="0"/>
            <w:szCs w:val="24"/>
            <w:u w:val="single"/>
            <w:lang w:eastAsia="es-ES"/>
          </w:rPr>
          <w:t>Ver el Decreto 159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47.</w:t>
      </w:r>
      <w:r w:rsidRPr="00A524F8">
        <w:rPr>
          <w:rFonts w:ascii="Arial" w:eastAsia="Times New Roman" w:hAnsi="Arial" w:cs="Arial"/>
          <w:kern w:val="0"/>
          <w:szCs w:val="24"/>
          <w:lang w:eastAsia="es-ES"/>
        </w:rPr>
        <w:t xml:space="preserve"> Destino de los recursos del Sistema General de Participaciones para Salud. Los recursos del Sistema General en Participaciones en salud se destinarán a financiar los gastos de salud, en los siguientes componentes: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47.1. Financiación o cofinanciación de subsidios a la demanda, de manera progresiva hasta lograr y sostener la cobertura total.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47.2. Prestación del servicio de salud a la población pobre en lo no cubierto con subsidios a la demanda.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47.3. Acciones de salud pública, definidos como prioritarios para el país por el Ministerio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48.</w:t>
      </w:r>
      <w:r w:rsidRPr="00A524F8">
        <w:rPr>
          <w:rFonts w:ascii="Arial" w:eastAsia="Times New Roman" w:hAnsi="Arial" w:cs="Arial"/>
          <w:kern w:val="0"/>
          <w:szCs w:val="24"/>
          <w:lang w:eastAsia="es-ES"/>
        </w:rPr>
        <w:t xml:space="preserve"> Financiación a la población pobre mediante subsidios a la demanda. Los recursos del Sistema General de Participaciones destinados para la financiación de la población pobre mediante subsidios a la demanda, serán los asignados con ese propósito en la vigencia inmediatamente anterior, incrementados en la inflación causada y en el crecimiento real de los recursos del Sistema General de Participaciones para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que forman parte del Sistema General de Participaciones de las Entidades Territoriales asignados a este componente, serán distribuidos entre distritos, municipios y corregimientos departamentales.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Estos recursos se dividirán por el total de la población pobre atendida en el país mediante subsidios a la demanda, en la vigencia anterior. El valor per cápita resultante se multiplicará por la población pobre atendida mediante subsidios a la demanda en la vigencia anterior, en cada ente territorial. La población atendida para los efectos del presente cálculo, será la del año anterior a aquel para el cual se realiza la distribución.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resultado será la cuantía que corresponderá a cada distrito, municipio o corregimiento departamental.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producto del crecimiento adicional a la inflación del Sistema General de Participaciones en Salud, serán destinados a financiar la nueva afiliación de la población por atender urbana y rural al Régimen Subsidiado, aplicando el criterio de equidad, entendido como un indicador que pondera el déficit de cobertura de la entidad territorial y su proporción de población por atender a nivel nacional, siempre que los recursos destinados a la prestación de los servicios de salud a la población pobre en lo no cubierto con subsidios a la demanda mantengan por lo menos el mismo monto de la vigencia anterior, incrementado en la inflación.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Parágrafo 1°</w:t>
      </w:r>
      <w:r w:rsidRPr="00A524F8">
        <w:rPr>
          <w:rFonts w:ascii="Arial" w:eastAsia="Times New Roman" w:hAnsi="Arial" w:cs="Arial"/>
          <w:kern w:val="0"/>
          <w:szCs w:val="24"/>
          <w:lang w:eastAsia="es-ES"/>
        </w:rPr>
        <w:t>. Los corregimientos departamentales de que trata este artículo, son aquellos pertenecientes a los nuevos departamentos creados por la Constitución de 1991. La población pobre atendida de estos corregimientos departamentales hará parte del cálculo de los recursos de que trata el presente artículo y dichos recursos serán administrados por el departamento correspondiente.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La ampliación de cobertura de la población pobre mediante subsidios a la demanda, que se haga con recursos propios de las entidades territoriales, deberá financiarse con ingresos corrientes de libre destinación, con destinación especifica para salud o con recursos de capital, cuando en este último caso, se garantice su continuidad como mínimo por cinco (5) años. En ningún caso podrá haber ampliación de cobertura mientras no se garantice la continuidad de los recursos destinados a financiar a la población pobre mediante los subsidios a la demanda.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3°</w:t>
      </w:r>
      <w:r w:rsidRPr="00A524F8">
        <w:rPr>
          <w:rFonts w:ascii="Arial" w:eastAsia="Times New Roman" w:hAnsi="Arial" w:cs="Arial"/>
          <w:kern w:val="0"/>
          <w:szCs w:val="24"/>
          <w:lang w:eastAsia="es-ES"/>
        </w:rPr>
        <w:t>. Los municipios que al entrar en vigencia la presente ley, presenten coberturas de afiliación al régimen subsidiado inferiores al 50%, podrán destinar dos puntos porcentuales de la participación de propósito general para cofinanciar la ampliación de coberturas. Esta asignación estará acorde con las metas de cobertura fijadas por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4°</w:t>
      </w:r>
      <w:r w:rsidRPr="00A524F8">
        <w:rPr>
          <w:rFonts w:ascii="Arial" w:eastAsia="Times New Roman" w:hAnsi="Arial" w:cs="Arial"/>
          <w:kern w:val="0"/>
          <w:szCs w:val="24"/>
          <w:lang w:eastAsia="es-ES"/>
        </w:rPr>
        <w:t>. La ampliación de cobertura también se realizará con recursos del Fosyga.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5°</w:t>
      </w:r>
      <w:r w:rsidRPr="00A524F8">
        <w:rPr>
          <w:rFonts w:ascii="Arial" w:eastAsia="Times New Roman" w:hAnsi="Arial" w:cs="Arial"/>
          <w:kern w:val="0"/>
          <w:szCs w:val="24"/>
          <w:lang w:eastAsia="es-ES"/>
        </w:rPr>
        <w:t>. Las autoridades territoriales están obligadas a hacer uso de la información que se derive de la actualización del instrumento de focalización que defina el Conpes. De no hacerlo, serán objeto de las sanciones disciplinarias, fiscales y penales a que haya lugar.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33" w:name="49"/>
      <w:r w:rsidRPr="00A524F8">
        <w:rPr>
          <w:rFonts w:ascii="Arial" w:eastAsia="Times New Roman" w:hAnsi="Arial" w:cs="Arial"/>
          <w:b/>
          <w:bCs/>
          <w:kern w:val="0"/>
          <w:szCs w:val="24"/>
          <w:lang w:eastAsia="es-ES"/>
        </w:rPr>
        <w:t> </w:t>
      </w:r>
      <w:bookmarkEnd w:id="33"/>
      <w:r w:rsidRPr="00A524F8">
        <w:rPr>
          <w:rFonts w:ascii="Arial" w:eastAsia="Times New Roman" w:hAnsi="Arial" w:cs="Arial"/>
          <w:b/>
          <w:bCs/>
          <w:kern w:val="0"/>
          <w:szCs w:val="24"/>
          <w:lang w:eastAsia="es-ES"/>
        </w:rPr>
        <w:t>49.</w:t>
      </w:r>
      <w:r w:rsidRPr="00A524F8">
        <w:rPr>
          <w:rFonts w:ascii="Arial" w:eastAsia="Times New Roman" w:hAnsi="Arial" w:cs="Arial"/>
          <w:kern w:val="0"/>
          <w:szCs w:val="24"/>
          <w:lang w:eastAsia="es-ES"/>
        </w:rPr>
        <w:t>  </w:t>
      </w:r>
      <w:hyperlink r:id="rId94" w:anchor="0" w:history="1">
        <w:r w:rsidRPr="00A524F8">
          <w:rPr>
            <w:rFonts w:ascii="Arial" w:eastAsia="Times New Roman" w:hAnsi="Arial" w:cs="Arial"/>
            <w:color w:val="0000FF"/>
            <w:kern w:val="0"/>
            <w:szCs w:val="24"/>
            <w:u w:val="single"/>
            <w:lang w:eastAsia="es-ES"/>
          </w:rPr>
          <w:t>Reglamentado parcialmente por el Decreto Nacional 1061 de 2006</w:t>
        </w:r>
      </w:hyperlink>
      <w:r w:rsidRPr="00A524F8">
        <w:rPr>
          <w:rFonts w:ascii="Arial" w:eastAsia="Times New Roman" w:hAnsi="Arial" w:cs="Arial"/>
          <w:kern w:val="0"/>
          <w:szCs w:val="24"/>
          <w:lang w:eastAsia="es-ES"/>
        </w:rPr>
        <w:t>. Distribución de los recursos de la participación para la prestación del servicio de salud a la población pobre en lo no cubierto con subsidios a la demanda. Para el cálculo de los recursos del componente destinado a la prestación de los servicios de salud a la población pobre, en lo no cubierto con subsidios a la demanda, se tomará el total de los recursos del Sistema General de Participaciones para salud en la respectiva vigencia y se le restarán los recursos liquidados para garantizar la financiación a la población pobre mediante subsidios a la demanda y los recursos destinados a financiar acciones de salud pública definidas como prioritarias por el Ministerio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Para distribuir los recursos entre estas entidades territoriales, se tomará el monto total de los recursos para este componente, se dividirá por la población pobre por atender nacional ajustada por dispersión poblacional y por un factor de ajuste que pondere los servicios no incluidos en el Plan Obligatorio de Salud Subsidiado. El valor per cápita así resultante, se multiplicará por la población pobre por atender de cada municipio, corregimiento departamental o distrito ajustada por dispersión poblacional y por un factor de ajuste que pondere los servicios no incluidos en el Plan Obligatorio de Salud Subsidiado. La población </w:t>
      </w:r>
      <w:r w:rsidRPr="00A524F8">
        <w:rPr>
          <w:rFonts w:ascii="Arial" w:eastAsia="Times New Roman" w:hAnsi="Arial" w:cs="Arial"/>
          <w:kern w:val="0"/>
          <w:szCs w:val="24"/>
          <w:lang w:eastAsia="es-ES"/>
        </w:rPr>
        <w:lastRenderedPageBreak/>
        <w:t>atendida para los efectos del presente cálculo, será la del año anterior a aquel para el cual se realiza la distribución.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 cada departamento le corresponderá el 59% de los montos resultantes de efectuar los cálculos anteriormente descritos de los municipios y corregimientos departamentales de su jurisdicción, los cuales deberán destinarse para garantizar la atención en salud de los servicios diferentes a los de primer nivel de complejidad, con los mismos criterios que la Nación aplica en la distribución para este componente. El 41% restante se deberá destinar a financiar la atención en el primer nivel de complejidad de cada uno de los municipios y corregimientos de los respectivos departamentos.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Para los efectos del presente artículo se entiende como población pobre por atender, urbana y rural de cada distrito, municipio o corregimiento departamental, la población identificada como pobre por el Sistema de Identificación de Beneficiarios que defina el Conpes, no afiliada al régimen contributivo o a un régimen excepcional, ni financiada con recursos de subsidios a la demanda.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Se entiende por dispersión poblacional, el resultado de dividir la extensión en kilómetros cuadrados de cada distrito o municipio entre la población urbana y rural del mismo. El ajuste se hará en favor de los municipios cuyo indicador esté por encima del promedio nacional, de acuerdo con un factor que determinará anualmente el Conpes.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Al departamento Archipiélago de San Andrés y Providencia se le aplicará el factor de ajuste que corresponda a las entidades cuya dispersión esté por encima del promedio nacional.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Los recursos que corresponden a los servicios para atención en salud en el primer nivel de complejidad de los municipios que a 31 de julio de 2001 estaban certificados y hayan asumido la competencia para la prestación de los servicios de salud y continúen con ella en los términos de la presente ley, serán administrados por estos y la Nación se los girará directamente.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Para los municipios que a 31 de julio de 2001 estaban certificados, pero no habían asumido la competencia para la prestación de los servicios de salud, el respectivo departamento será el responsable de prestar los servicios de salud y administrar los recursos correspondientes.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Una vez distribuidos a cada entidad territorial, los recursos para la prestación del servicio de salud a la población pobre por atender, en lo no cubierto con subsidios a la demanda, del valor total que corresponde a cada una de ellas, se descontarán los cuotas patronales para la afiliación y pago de los valores prestacionales de pensiones y cesantías del sector salud así como los aportes por cotizaciones en salud y por concepto de riegos profesionales que les corresponda.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95" w:anchor="1" w:history="1">
        <w:r w:rsidRPr="00A524F8">
          <w:rPr>
            <w:rFonts w:ascii="Arial" w:eastAsia="Times New Roman" w:hAnsi="Arial" w:cs="Arial"/>
            <w:color w:val="0000FF"/>
            <w:kern w:val="0"/>
            <w:szCs w:val="24"/>
            <w:u w:val="single"/>
            <w:lang w:eastAsia="es-ES"/>
          </w:rPr>
          <w:t>Ver el Decreto 1796 de 1995</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La reducción de los costos laborales y de los aportes patronales que hayan realizado o realice cada entidad territorial, cuando fuere el caso, se destinarán a la prestación de servicios de salud de oferta o a la demanda, según lo defina el ente territorial que genere el ahorro.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3°</w:t>
      </w:r>
      <w:r w:rsidRPr="00A524F8">
        <w:rPr>
          <w:rFonts w:ascii="Arial" w:eastAsia="Times New Roman" w:hAnsi="Arial" w:cs="Arial"/>
          <w:kern w:val="0"/>
          <w:szCs w:val="24"/>
          <w:lang w:eastAsia="es-ES"/>
        </w:rPr>
        <w:t>. Los corregimientos departamentales de que trata este artículo, son aquellos pertenecientes a los nuevos departamentos creados por la Constitución de 1991. La población pobre por atender de estos corregimientos departamentales hará parte del cálculo de los recursos de que trata el presente artículo y dichos recursos serán administrados por el departamento correspondiente.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4°</w:t>
      </w:r>
      <w:r w:rsidRPr="00A524F8">
        <w:rPr>
          <w:rFonts w:ascii="Arial" w:eastAsia="Times New Roman" w:hAnsi="Arial" w:cs="Arial"/>
          <w:kern w:val="0"/>
          <w:szCs w:val="24"/>
          <w:lang w:eastAsia="es-ES"/>
        </w:rPr>
        <w:t>. Si por condiciones de acceso geográfico o funcional la población pobre por atender urbana y rural de los departamentos, distritos y municipios que hayan asumido la prestación del servicio de salud en forma directa, es remitida o demanda servicios de salud de otros departamentos o distritos; la entidad territorial responsable de la población remitida, deberá reconocer los costos de la prestación de servicios de salud a la red donde se presten tales servicios. El Gobierno en la reglamentación establecerá mecanismos para garantizar la eficiencia de esta disposición.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50.</w:t>
      </w:r>
      <w:r w:rsidRPr="00A524F8">
        <w:rPr>
          <w:rFonts w:ascii="Arial" w:eastAsia="Times New Roman" w:hAnsi="Arial" w:cs="Arial"/>
          <w:kern w:val="0"/>
          <w:szCs w:val="24"/>
          <w:lang w:eastAsia="es-ES"/>
        </w:rPr>
        <w:t xml:space="preserve"> Recursos complementarios para el financiamiento de los subsidios a la demanda. Los recursos de cofinanciación de la Nación destinados a la atención en salud de la población pobre mediante subsidios a la demanda, deberán distribuirse entre los entes territoriales de acuerdo a las necesidades de cofinanciación de la afiliación alcanzada en la vigencia anterior, una vez descontados los recursos del Sistema General de Participaciones en Salud y los recursos propios destinados a financiar la continuidad de cobertura. El monto excedente deberá distribuirse para el financiamiento de la ampliación de cobertura entre los entes territoriales, de acuerdo a los criterios que establezca el Consejo Nacional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distribuidos por concepto de ampliación de cobertura para cada ente territorial, no podrán exceder los montos necesarios para alcanzar la cobertura total de la población por atender en dicho territorio, hasta que el total nacional se haya alcanzado.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Anualmente, la Nación establecerá la meta de ampliación de cobertura nacional para la vigencia siguiente, la cual deberá reflejarse en la apropiación de recursos presentada en el proyecto de Ley de Presupuesto.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51.</w:t>
      </w:r>
      <w:r w:rsidRPr="00A524F8">
        <w:rPr>
          <w:rFonts w:ascii="Arial" w:eastAsia="Times New Roman" w:hAnsi="Arial" w:cs="Arial"/>
          <w:kern w:val="0"/>
          <w:szCs w:val="24"/>
          <w:lang w:eastAsia="es-ES"/>
        </w:rPr>
        <w:t xml:space="preserve"> Contratación de la prestación de servicios en el régimen subsidiado. Las entidades que administran los recursos del Régimen Subsidiado de Salud contratarán y ejecutarán con las instituciones prestadoras de servicios de salud públicas del orden municipal o distrital de la entidad territorial sede del contrato no menos del 40% del valor de la Unidad de Pago por Capitación subsidiada efectivamente contratadas por la respectiva entidad administradora del régimen subsidiado. En el caso de existir en el municipio o distrito respectivo hospitales públicos de mediana o alta complejidad del orden territorial dicha proporción no será menor al 50%. Todo lo anterior siempre y </w:t>
      </w:r>
      <w:r w:rsidRPr="00A524F8">
        <w:rPr>
          <w:rFonts w:ascii="Arial" w:eastAsia="Times New Roman" w:hAnsi="Arial" w:cs="Arial"/>
          <w:kern w:val="0"/>
          <w:szCs w:val="24"/>
          <w:lang w:eastAsia="es-ES"/>
        </w:rPr>
        <w:lastRenderedPageBreak/>
        <w:t>cuando la entidad territorial cuente con la oferta pública que le permita prestar los servicios a financiar con dichos porcentajes.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Para efectos de racionalizar los costos se tendrá como marco de referencia las tarifas establecidas por el Ministerio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96" w:anchor="1" w:history="1">
        <w:r w:rsidRPr="00A524F8">
          <w:rPr>
            <w:rFonts w:ascii="Arial" w:eastAsia="Times New Roman" w:hAnsi="Arial" w:cs="Arial"/>
            <w:color w:val="0000FF"/>
            <w:kern w:val="0"/>
            <w:szCs w:val="24"/>
            <w:u w:val="single"/>
            <w:lang w:eastAsia="es-ES"/>
          </w:rPr>
          <w:t>Ver art. 14, Ley 691 de 2001</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52.</w:t>
      </w:r>
      <w:r w:rsidRPr="00A524F8">
        <w:rPr>
          <w:rFonts w:ascii="Arial" w:eastAsia="Times New Roman" w:hAnsi="Arial" w:cs="Arial"/>
          <w:kern w:val="0"/>
          <w:szCs w:val="24"/>
          <w:lang w:eastAsia="es-ES"/>
        </w:rPr>
        <w:t xml:space="preserve"> Distribución de los recursos para financiar las acciones de Salud Pública definidas como prioritarios para el país por el Ministerio de Salud. Los recursos para financiar las acciones de salud pública, definidas como prioritarias para el país por el Ministerio de Salud, serán iguales a los asignados durante la vigencia anterior incrementados en la inflación causada y se distribuirán entre los distritos, municipios y corregimientos departamentales, de los nuevos departamentos creados por la Constitución de 1991, de acuerdo con la sumatoria de los valores correspondientes a la aplicación de los criterios de población, equidad y eficiencia administrativa, definidos así:</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52.1. Población por atender. Es la población total de cada entidad territorial certificada por el DANE para el respectivo año y se distribuirá entre los distritos, municipios y corregimientos de acuerdo con su población.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52.2. Equidad. Es el peso relativo que se asigna a cada entidad territorial, de acuerdo con su nivel de pobreza y los riesgos en salud 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52.3. Eficiencia administrativa. Es el mayor o menor cumplimiento en metas prioritarias de salud pública, medidas por indicadores trazadores.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para financiar los eventos de salud pública, se distribuirán de acuerdo con los criterios antes señalados así: 40% por población por atender, 50% por equidad y 10% por eficiencia administrativa, entendiéndose que ésta existe, cuando se hayan logrado coberturas útiles de vacunación.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departamentos recibirán el 45% de los recursos destinados a este componente, para financiar los eventos de salud pública de su competencia, para la operación y mantenimiento de los laboratorios de salud pública, y el 100% de los asignados a los corregimientos departamentales.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y distritos recibirán el 55% de los recursos asignados a este componente, con excepción del Distrito Capital que recibirá el 100%.</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53.</w:t>
      </w:r>
      <w:r w:rsidRPr="00A524F8">
        <w:rPr>
          <w:rFonts w:ascii="Arial" w:eastAsia="Times New Roman" w:hAnsi="Arial" w:cs="Arial"/>
          <w:kern w:val="0"/>
          <w:szCs w:val="24"/>
          <w:lang w:eastAsia="es-ES"/>
        </w:rPr>
        <w:t xml:space="preserve"> Transferencias de los recursos. La apropiación de los recursos del Sistema General de Participaciones para salud se hará sobre la base del 100% del aforo que aparezca en la Ley de Presupuesto.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giros se deberán efectuar en los diez (10) primeros días del mes siguiente al que corresponde la transferencia, a los fondos que para el efecto deben crear y organizar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Los giros correspondientes a los aportes patronales se harán directamente a la entidad u organismo que administra las pensiones, cesantías, salud y riesgos profesionales del sector salud de las entidades territoriales, en la forma y oportunidad que señale el reglamento.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97" w:anchor="1" w:history="1">
        <w:r w:rsidRPr="00A524F8">
          <w:rPr>
            <w:rFonts w:ascii="Arial" w:eastAsia="Times New Roman" w:hAnsi="Arial" w:cs="Arial"/>
            <w:color w:val="0000FF"/>
            <w:kern w:val="0"/>
            <w:szCs w:val="24"/>
            <w:u w:val="single"/>
            <w:lang w:eastAsia="es-ES"/>
          </w:rPr>
          <w:t>Ver el Decreto 1796 de 1995</w:t>
        </w:r>
      </w:hyperlink>
      <w:r w:rsidRPr="00A524F8">
        <w:rPr>
          <w:rFonts w:ascii="Arial" w:eastAsia="Times New Roman" w:hAnsi="Arial" w:cs="Arial"/>
          <w:kern w:val="0"/>
          <w:szCs w:val="24"/>
          <w:lang w:eastAsia="es-ES"/>
        </w:rPr>
        <w:t xml:space="preserve">, </w:t>
      </w:r>
      <w:hyperlink r:id="rId98" w:anchor="1" w:history="1">
        <w:r w:rsidRPr="00A524F8">
          <w:rPr>
            <w:rFonts w:ascii="Arial" w:eastAsia="Times New Roman" w:hAnsi="Arial" w:cs="Arial"/>
            <w:color w:val="0000FF"/>
            <w:kern w:val="0"/>
            <w:szCs w:val="24"/>
            <w:u w:val="single"/>
            <w:lang w:eastAsia="es-ES"/>
          </w:rPr>
          <w:t>Ver el art. 1 del Decreto 258 del 2002</w:t>
        </w:r>
      </w:hyperlink>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IV</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Disposiciones generales del sector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34" w:name="54"/>
      <w:r w:rsidRPr="00A524F8">
        <w:rPr>
          <w:rFonts w:ascii="Arial" w:eastAsia="Times New Roman" w:hAnsi="Arial" w:cs="Arial"/>
          <w:b/>
          <w:bCs/>
          <w:kern w:val="0"/>
          <w:szCs w:val="24"/>
          <w:lang w:eastAsia="es-ES"/>
        </w:rPr>
        <w:t> </w:t>
      </w:r>
      <w:bookmarkEnd w:id="34"/>
      <w:r w:rsidRPr="00A524F8">
        <w:rPr>
          <w:rFonts w:ascii="Arial" w:eastAsia="Times New Roman" w:hAnsi="Arial" w:cs="Arial"/>
          <w:b/>
          <w:bCs/>
          <w:kern w:val="0"/>
          <w:szCs w:val="24"/>
          <w:lang w:eastAsia="es-ES"/>
        </w:rPr>
        <w:t>54.</w:t>
      </w:r>
      <w:r w:rsidRPr="00A524F8">
        <w:rPr>
          <w:rFonts w:ascii="Arial" w:eastAsia="Times New Roman" w:hAnsi="Arial" w:cs="Arial"/>
          <w:kern w:val="0"/>
          <w:szCs w:val="24"/>
          <w:lang w:eastAsia="es-ES"/>
        </w:rPr>
        <w:t>  </w:t>
      </w:r>
      <w:hyperlink r:id="rId99" w:anchor="0" w:history="1">
        <w:r w:rsidRPr="00A524F8">
          <w:rPr>
            <w:rFonts w:ascii="Arial" w:eastAsia="Times New Roman" w:hAnsi="Arial" w:cs="Arial"/>
            <w:color w:val="0000FF"/>
            <w:kern w:val="0"/>
            <w:szCs w:val="24"/>
            <w:u w:val="single"/>
            <w:lang w:eastAsia="es-ES"/>
          </w:rPr>
          <w:t>Reglamentado por el Decreto Nacional 3690 de 2004</w:t>
        </w:r>
      </w:hyperlink>
      <w:r w:rsidRPr="00A524F8">
        <w:rPr>
          <w:rFonts w:ascii="Arial" w:eastAsia="Times New Roman" w:hAnsi="Arial" w:cs="Arial"/>
          <w:kern w:val="0"/>
          <w:szCs w:val="24"/>
          <w:lang w:eastAsia="es-ES"/>
        </w:rPr>
        <w:t xml:space="preserve"> Organización y consolidación de redes. El servicio de salud a nivel territorial deberá prestarse mediante la integración de redes que permitan la articulación de las unidades prestadoras de servicios de salud, la utilización adecuada de la oferta en salud y la racionalización del costo de las atenciones en beneficio de la población, así como la optimización de la infraestructura que la soporta.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red de servicios de salud se organizará por grados de complejidad relacionados entre sí mediante un sistema de referencia y contrarreferencia que provea las normas técnicas y administrativas con el fin de prestar al usuario servicios de salud acordes con sus necesidades, atendiendo los requerimientos de eficiencia y oportunidad, de acuerdo con la reglamentación que para tales efectos expida el Ministerio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w:t>
      </w:r>
      <w:bookmarkStart w:id="35" w:name="54-1"/>
      <w:r w:rsidRPr="00A524F8">
        <w:rPr>
          <w:rFonts w:ascii="Arial" w:eastAsia="Times New Roman" w:hAnsi="Arial" w:cs="Arial"/>
          <w:b/>
          <w:bCs/>
          <w:kern w:val="0"/>
          <w:szCs w:val="24"/>
          <w:lang w:eastAsia="es-ES"/>
        </w:rPr>
        <w:t> </w:t>
      </w:r>
      <w:bookmarkEnd w:id="35"/>
      <w:r w:rsidRPr="00A524F8">
        <w:rPr>
          <w:rFonts w:ascii="Arial" w:eastAsia="Times New Roman" w:hAnsi="Arial" w:cs="Arial"/>
          <w:b/>
          <w:bCs/>
          <w:kern w:val="0"/>
          <w:szCs w:val="24"/>
          <w:lang w:eastAsia="es-ES"/>
        </w:rPr>
        <w:t>1°</w:t>
      </w:r>
      <w:r w:rsidRPr="00A524F8">
        <w:rPr>
          <w:rFonts w:ascii="Arial" w:eastAsia="Times New Roman" w:hAnsi="Arial" w:cs="Arial"/>
          <w:kern w:val="0"/>
          <w:szCs w:val="24"/>
          <w:lang w:eastAsia="es-ES"/>
        </w:rPr>
        <w:t xml:space="preserve">. Para garantizar la efectiva organización y operación de los servicios de salud a través de redes, los planes de inversión de las instituciones prestadoras de salud públicas deberán privilegiar la integración de los servicios. Para el conjunto de servicios e instalaciones que el Ministerio de Salud defina como de control especial de oferta, las Instituciones Prestadoras de Salud, </w:t>
      </w:r>
      <w:r w:rsidRPr="00A524F8">
        <w:rPr>
          <w:rFonts w:ascii="Arial" w:eastAsia="Times New Roman" w:hAnsi="Arial" w:cs="Arial"/>
          <w:kern w:val="0"/>
          <w:szCs w:val="24"/>
          <w:u w:val="single"/>
          <w:lang w:eastAsia="es-ES"/>
        </w:rPr>
        <w:t xml:space="preserve">sean </w:t>
      </w:r>
      <w:r w:rsidRPr="00A524F8">
        <w:rPr>
          <w:rFonts w:ascii="Arial" w:eastAsia="Times New Roman" w:hAnsi="Arial" w:cs="Arial"/>
          <w:kern w:val="0"/>
          <w:szCs w:val="24"/>
          <w:lang w:eastAsia="es-ES"/>
        </w:rPr>
        <w:t xml:space="preserve">públicas </w:t>
      </w:r>
      <w:r w:rsidRPr="00A524F8">
        <w:rPr>
          <w:rFonts w:ascii="Arial" w:eastAsia="Times New Roman" w:hAnsi="Arial" w:cs="Arial"/>
          <w:kern w:val="0"/>
          <w:szCs w:val="24"/>
          <w:u w:val="single"/>
          <w:lang w:eastAsia="es-ES"/>
        </w:rPr>
        <w:t>o privadas</w:t>
      </w:r>
      <w:r w:rsidRPr="00A524F8">
        <w:rPr>
          <w:rFonts w:ascii="Arial" w:eastAsia="Times New Roman" w:hAnsi="Arial" w:cs="Arial"/>
          <w:kern w:val="0"/>
          <w:szCs w:val="24"/>
          <w:lang w:eastAsia="es-ES"/>
        </w:rPr>
        <w:t>, requerirán de la aprobación de sus proyectos de inversión por el Ministerio de Salud. </w:t>
      </w:r>
      <w:r w:rsidRPr="00A524F8">
        <w:rPr>
          <w:rFonts w:ascii="Arial" w:eastAsia="Times New Roman" w:hAnsi="Arial" w:cs="Arial"/>
          <w:b/>
          <w:bCs/>
          <w:kern w:val="0"/>
          <w:szCs w:val="24"/>
          <w:lang w:eastAsia="es-ES"/>
        </w:rPr>
        <w:t xml:space="preserve">Texto Subrayado declarado INEXEQUIBLE por la Corte Constitucional mediante </w:t>
      </w:r>
      <w:hyperlink r:id="rId100" w:anchor="0" w:history="1">
        <w:r w:rsidRPr="00A524F8">
          <w:rPr>
            <w:rFonts w:ascii="Arial" w:eastAsia="Times New Roman" w:hAnsi="Arial" w:cs="Arial"/>
            <w:color w:val="0000FF"/>
            <w:kern w:val="0"/>
            <w:szCs w:val="24"/>
            <w:u w:val="single"/>
            <w:lang w:eastAsia="es-ES"/>
          </w:rPr>
          <w:t xml:space="preserve">Sentencia C-974 de 2002 </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Defínase un plazo de cuatro (4) años después de la vigencia de la presente Ley para la evaluación de la vulnerabilidad sísmica de las instituciones prestadoras de servicios de salud. Una vez culminada la evaluación cada entidad contará con cuatro (4) años para ejecutar las acciones de intervención o reforzamiento estructural que se requieran de acuerdo a las normas que regulan la materia. </w:t>
      </w:r>
      <w:hyperlink r:id="rId101" w:anchor="35" w:history="1">
        <w:r w:rsidRPr="00A524F8">
          <w:rPr>
            <w:rFonts w:ascii="Arial" w:eastAsia="Times New Roman" w:hAnsi="Arial" w:cs="Arial"/>
            <w:color w:val="0000FF"/>
            <w:kern w:val="0"/>
            <w:szCs w:val="24"/>
            <w:u w:val="single"/>
            <w:lang w:eastAsia="es-ES"/>
          </w:rPr>
          <w:t>Ver el art. 35, Ley 1151 de 2007</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3°</w:t>
      </w:r>
      <w:r w:rsidRPr="00A524F8">
        <w:rPr>
          <w:rFonts w:ascii="Arial" w:eastAsia="Times New Roman" w:hAnsi="Arial" w:cs="Arial"/>
          <w:kern w:val="0"/>
          <w:szCs w:val="24"/>
          <w:lang w:eastAsia="es-ES"/>
        </w:rPr>
        <w:t>. El Gobierno Nacional podrá otorgar préstamos condonables a las entidades territoriales con el fin de adelantar el programa de organización y modernización de redes, los cuales serán considerados como gastos de inversión del sector. Estos créditos no computarán dentro de los indicadores de solvencia y sostenibilidad de la Ley 358 de 1997, mientras la entidad que los reciba cumpla con los requisitos que el Gobierno Nacional establezca para su condonación. Para estos efectos, las rentas de la Participación para Salud, podrán ser pignoradas a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Artículo 55.</w:t>
      </w:r>
      <w:r w:rsidRPr="00A524F8">
        <w:rPr>
          <w:rFonts w:ascii="Arial" w:eastAsia="Times New Roman" w:hAnsi="Arial" w:cs="Arial"/>
          <w:kern w:val="0"/>
          <w:szCs w:val="24"/>
          <w:lang w:eastAsia="es-ES"/>
        </w:rPr>
        <w:t xml:space="preserve"> Dirección y prestación de los servicios de salud. En la dirección y prestación de los servicios de salud, por parte de los departamentos, distritos y municipios, deberán observarse las siguientes reglas: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55.1. Adecuar y orientar su estructura administrativa, técnica y de gestión, para el ejercicio de las competencias asignadas, que deberán cumplirse con recursos del Sistema General de Participaciones destinados a salud y con recursos propios, 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55.2. Disponer de un sistema que genere información periódica sobre el manejo presupuestal y contable de los recursos destinados a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56.</w:t>
      </w:r>
      <w:r w:rsidRPr="00A524F8">
        <w:rPr>
          <w:rFonts w:ascii="Arial" w:eastAsia="Times New Roman" w:hAnsi="Arial" w:cs="Arial"/>
          <w:kern w:val="0"/>
          <w:szCs w:val="24"/>
          <w:lang w:eastAsia="es-ES"/>
        </w:rPr>
        <w:t xml:space="preserve"> De la inscripción en el registro especial de las entidades de salud. Todos los prestadores de servicios de salud, cualquiera que sea su naturaleza jurídica o nivel, de complejidad deberán demostrar ante el Ministerio de Salud o ante quien éste delegue, la capacidad tecnológica y científica, la suficiencia patrimonial y la capacidad técnico- administrativa, para la prestación del servicio a su cargo.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36" w:name="57"/>
      <w:r w:rsidRPr="00A524F8">
        <w:rPr>
          <w:rFonts w:ascii="Arial" w:eastAsia="Times New Roman" w:hAnsi="Arial" w:cs="Arial"/>
          <w:b/>
          <w:bCs/>
          <w:kern w:val="0"/>
          <w:szCs w:val="24"/>
          <w:lang w:eastAsia="es-ES"/>
        </w:rPr>
        <w:t> </w:t>
      </w:r>
      <w:bookmarkEnd w:id="36"/>
      <w:r w:rsidRPr="00A524F8">
        <w:rPr>
          <w:rFonts w:ascii="Arial" w:eastAsia="Times New Roman" w:hAnsi="Arial" w:cs="Arial"/>
          <w:b/>
          <w:bCs/>
          <w:kern w:val="0"/>
          <w:szCs w:val="24"/>
          <w:lang w:eastAsia="es-ES"/>
        </w:rPr>
        <w:t>57.</w:t>
      </w:r>
      <w:r w:rsidRPr="00A524F8">
        <w:rPr>
          <w:rFonts w:ascii="Arial" w:eastAsia="Times New Roman" w:hAnsi="Arial" w:cs="Arial"/>
          <w:kern w:val="0"/>
          <w:szCs w:val="24"/>
          <w:lang w:eastAsia="es-ES"/>
        </w:rPr>
        <w:t xml:space="preserve"> Fondos de Salud. Las entidades territoriales, para la administración y manejo de los recursos del Sistema General de Participaciones y de todos los demás recursos destinados al sector salud, deberán organizar un fondo departamental, distrital o municipal de salud, según el caso, que se manejará como una cuenta especial de su presupuesto, separada de las demás rentas de la entidad territorial y con unidad de caja al interior del mismo, conservando un manejo contable y presupuestal independiente y exclusivo, que permita identificar con precisión el origen y destinación de los recursos de cada fuente. En ningún caso, los recursos destinados a la salud podrán hacer unidad de caja con las demás rentas de la entidad territorial. El manejo contable de los fondos de salud debe regirse por las disposiciones que en tal sentido expida la Contaduría General de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del régimen subsidiado no podrán hacer unidad de caja con ningún otro recurso.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 los fondos departamentales, distritales o municipales de salud deberán girarse todas las rentas nacionales cedidas o transferidas con destinación específica para salud, los recursos libremente asignados para la salud por el ente territorial, la totalidad de los recursos recaudados en el ente territorial respectivo que tengan esta destinación, los recursos provenientes de cofinanciación destinados a salud, y en general los destinados a salud, que deban ser ejecutados por la entidad territorial.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Para vigilar y controlar el recaudo y adecuada destinación de los ingresos del Fondo de Salud, la Contraloría General de la República deberá exigir la información necesaria a las entidades territoriales y demás entes, organismos y dependencias que generen, recauden o capten recursos destinados a la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El control y vigilancia de la generación, flujo y aplicación de los recursos destinados a la salud está a cargo de la Superintendencia Nacional de Salud y se tendrá como control ciudadano en la participación en el Consejo Nacional de Seguridad Social en Salud, con voz pero sin voto. El Gobierno reglamentará la materia.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Sólo se podrán realizar giros del Sistema General de Participaciones a los fondos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02" w:anchor="1" w:history="1">
        <w:r w:rsidRPr="00A524F8">
          <w:rPr>
            <w:rFonts w:ascii="Arial" w:eastAsia="Times New Roman" w:hAnsi="Arial" w:cs="Arial"/>
            <w:color w:val="0000FF"/>
            <w:kern w:val="0"/>
            <w:szCs w:val="24"/>
            <w:u w:val="single"/>
            <w:lang w:eastAsia="es-ES"/>
          </w:rPr>
          <w:t>Ver el art. 1 del Decreto 258 del 2002</w:t>
        </w:r>
      </w:hyperlink>
      <w:r w:rsidRPr="00A524F8">
        <w:rPr>
          <w:rFonts w:ascii="Arial" w:eastAsia="Times New Roman" w:hAnsi="Arial" w:cs="Arial"/>
          <w:kern w:val="0"/>
          <w:szCs w:val="24"/>
          <w:lang w:eastAsia="es-ES"/>
        </w:rPr>
        <w:t xml:space="preserve">, </w:t>
      </w:r>
      <w:hyperlink r:id="rId103" w:anchor="0" w:history="1">
        <w:r w:rsidRPr="00A524F8">
          <w:rPr>
            <w:rFonts w:ascii="Arial" w:eastAsia="Times New Roman" w:hAnsi="Arial" w:cs="Arial"/>
            <w:color w:val="0000FF"/>
            <w:kern w:val="0"/>
            <w:szCs w:val="24"/>
            <w:u w:val="single"/>
            <w:lang w:eastAsia="es-ES"/>
          </w:rPr>
          <w:t>Ver la Resolución del Min. Protección 3042 de 2007</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37" w:name="58"/>
      <w:r w:rsidRPr="00A524F8">
        <w:rPr>
          <w:rFonts w:ascii="Arial" w:eastAsia="Times New Roman" w:hAnsi="Arial" w:cs="Arial"/>
          <w:b/>
          <w:bCs/>
          <w:kern w:val="0"/>
          <w:szCs w:val="24"/>
          <w:lang w:eastAsia="es-ES"/>
        </w:rPr>
        <w:t> </w:t>
      </w:r>
      <w:bookmarkEnd w:id="37"/>
      <w:r w:rsidRPr="00A524F8">
        <w:rPr>
          <w:rFonts w:ascii="Arial" w:eastAsia="Times New Roman" w:hAnsi="Arial" w:cs="Arial"/>
          <w:b/>
          <w:bCs/>
          <w:kern w:val="0"/>
          <w:szCs w:val="24"/>
          <w:lang w:eastAsia="es-ES"/>
        </w:rPr>
        <w:t>58.</w:t>
      </w:r>
      <w:r w:rsidRPr="00A524F8">
        <w:rPr>
          <w:rFonts w:ascii="Arial" w:eastAsia="Times New Roman" w:hAnsi="Arial" w:cs="Arial"/>
          <w:kern w:val="0"/>
          <w:szCs w:val="24"/>
          <w:lang w:eastAsia="es-ES"/>
        </w:rPr>
        <w:t xml:space="preserve"> De los aportes patronales. Las sumas correspondientes a los recursos que las entidades territoriales y sus entes descentralizados, deben destinar como aportes patronales de los empleados del sector salud, que se venían financiando con los recursos del situado fiscal, deberán ser pagadas con cargo a los recursos del Sistema General de Participaciones de salud y deben ser giradas directamente por la Nación a los Fondos de Pensiones y Cesantías, Administradoras de Riesgos Profesionales y a las Entidades Promotoras de Salud a las cuales se encuentren afiliados los trabajadores.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a los que se refiere el presente artículo se presupuestarán y contabilizarán sin situación de fondos, por parte de las entidades territoriales y sus entes descentralizados.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Parágrafo. Cuando una entidad beneficiaria del Sistema General de Participaciones, haya registrado en los años anteriores a la vigencia de la presente ley, excedentes por el pago de aportes patronales deberá destinarlos así:</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 A sanear el pago de los aportes patronales para cesantías, pensiones, salud y riesgos profesionales causados a partir de 1994, de conformidad con la reglamentación que para el efecto expida el Ministerio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b) Una vez efectuado el saneamiento de los aportes patronales, los saldos existentes podrán ser solicitados por la entidad territorial y adicionados a su presupuesto para financiar la prestación de servicios de salud a la población pobre en lo no cubierto con subsidios a la demanda, de acuerdo con el reglamento que expida el Ministerio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xml:space="preserve"> </w:t>
      </w:r>
      <w:hyperlink r:id="rId104" w:anchor="34" w:history="1">
        <w:r w:rsidRPr="00A524F8">
          <w:rPr>
            <w:rFonts w:ascii="Arial" w:eastAsia="Times New Roman" w:hAnsi="Arial" w:cs="Arial"/>
            <w:color w:val="0000FF"/>
            <w:kern w:val="0"/>
            <w:szCs w:val="24"/>
            <w:u w:val="single"/>
            <w:lang w:eastAsia="es-ES"/>
          </w:rPr>
          <w:t>Adicionado por el art. 34, Ley 1176 de 2007</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05" w:anchor="1" w:history="1">
        <w:r w:rsidRPr="00A524F8">
          <w:rPr>
            <w:rFonts w:ascii="Arial" w:eastAsia="Times New Roman" w:hAnsi="Arial" w:cs="Arial"/>
            <w:color w:val="0000FF"/>
            <w:kern w:val="0"/>
            <w:szCs w:val="24"/>
            <w:u w:val="single"/>
            <w:lang w:eastAsia="es-ES"/>
          </w:rPr>
          <w:t>Ver el Decreto 1796 de 1995</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bookmarkStart w:id="38" w:name="59"/>
      <w:bookmarkEnd w:id="38"/>
      <w:r w:rsidRPr="00A524F8">
        <w:rPr>
          <w:rFonts w:ascii="Arial" w:eastAsia="Times New Roman" w:hAnsi="Arial" w:cs="Arial"/>
          <w:b/>
          <w:bCs/>
          <w:kern w:val="0"/>
          <w:szCs w:val="24"/>
          <w:lang w:eastAsia="es-ES"/>
        </w:rPr>
        <w:t>Artículo 59.</w:t>
      </w:r>
      <w:r w:rsidRPr="00A524F8">
        <w:rPr>
          <w:rFonts w:ascii="Arial" w:eastAsia="Times New Roman" w:hAnsi="Arial" w:cs="Arial"/>
          <w:kern w:val="0"/>
          <w:szCs w:val="24"/>
          <w:lang w:eastAsia="es-ES"/>
        </w:rPr>
        <w:t xml:space="preserve"> Rentas cedidas y gastos de funcionamiento. Adiciónase al artículo 42 de la Ley 643 de 2001 el siguiente parágrafo: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"Parágrafo 4°. Del 80% contemplado en el literal a) del artículo 42 de la Ley 643 de 2001, los departamentos de Amazonas, Arauca, Caquetá, Casanare, Guainía, Guaviare, Putumayo, Vaupés y Vichada, podrán destinar hasta un </w:t>
      </w:r>
      <w:r w:rsidRPr="00A524F8">
        <w:rPr>
          <w:rFonts w:ascii="Arial" w:eastAsia="Times New Roman" w:hAnsi="Arial" w:cs="Arial"/>
          <w:kern w:val="0"/>
          <w:szCs w:val="24"/>
          <w:lang w:eastAsia="es-ES"/>
        </w:rPr>
        <w:lastRenderedPageBreak/>
        <w:t>cuarenta por ciento (40%) para cubrir los gastos de funcionamiento de las secretarías o direcciones seccionales de salud, mientras éstas mantengan la doble característica de ser administradoras y prestadoras de servicios de salud en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06" w:anchor="1" w:history="1">
        <w:r w:rsidRPr="00A524F8">
          <w:rPr>
            <w:rFonts w:ascii="Arial" w:eastAsia="Times New Roman" w:hAnsi="Arial" w:cs="Arial"/>
            <w:color w:val="0000FF"/>
            <w:kern w:val="0"/>
            <w:szCs w:val="24"/>
            <w:u w:val="single"/>
            <w:lang w:eastAsia="es-ES"/>
          </w:rPr>
          <w:t>Ver art. 42, Ley 643 de 2001</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60.</w:t>
      </w:r>
      <w:r w:rsidRPr="00A524F8">
        <w:rPr>
          <w:rFonts w:ascii="Arial" w:eastAsia="Times New Roman" w:hAnsi="Arial" w:cs="Arial"/>
          <w:kern w:val="0"/>
          <w:szCs w:val="24"/>
          <w:lang w:eastAsia="es-ES"/>
        </w:rPr>
        <w:t xml:space="preserve"> Financiación de las direcciones territoriales de salud. Los gastos de funcionamiento de las dependencias y organismos de dirección de los departamentos, distritos y municipios podrán financiarse con sus ingresos corrientes de libre destinación y podrán destinar hasta un 25% de las rentas cedidas para tal fin.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No menos del veinte por ciento (20%) del monto de las rentas cedidas que se destinen a gastos de funcionamiento, podrán financiar las funciones de asesoría y asistencia técnica, inspección, vigilancia y control del Régimen Subsidiado y salud pública, de acuerdo con las competencias establecidas en el artículo 44 de la presente ley. En caso de no acreditar la capacidad técnica establecida o que sus resultados no sean satisfactorios, según evaluación y supervisión realizada por la Superintendencia Nacional de Salud, el Departamento contratará dichos procesos con entidades externas.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Se excluyen de los dispuesto en este artículo los departamentos de Amazonas, Arauca, Caquetá, Casanare, Guainía, Guaviare, Putumayo, Vaupés y Vichada, los cuales se rigen por lo dispuesto en el artículo 59.</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ningún caso se podrá financiar gastos de funcionamiento con recursos provenientes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07" w:anchor="1" w:history="1">
        <w:r w:rsidRPr="00A524F8">
          <w:rPr>
            <w:rFonts w:ascii="Arial" w:eastAsia="Times New Roman" w:hAnsi="Arial" w:cs="Arial"/>
            <w:color w:val="0000FF"/>
            <w:kern w:val="0"/>
            <w:szCs w:val="24"/>
            <w:u w:val="single"/>
            <w:lang w:eastAsia="es-ES"/>
          </w:rPr>
          <w:t>Ver el art. 7 del Decreto Nacional 1280 de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61.</w:t>
      </w:r>
      <w:r w:rsidRPr="00A524F8">
        <w:rPr>
          <w:rFonts w:ascii="Arial" w:eastAsia="Times New Roman" w:hAnsi="Arial" w:cs="Arial"/>
          <w:kern w:val="0"/>
          <w:szCs w:val="24"/>
          <w:lang w:eastAsia="es-ES"/>
        </w:rPr>
        <w:t>  </w:t>
      </w:r>
      <w:hyperlink r:id="rId108" w:anchor="0" w:history="1">
        <w:r w:rsidRPr="00A524F8">
          <w:rPr>
            <w:rFonts w:ascii="Arial" w:eastAsia="Times New Roman" w:hAnsi="Arial" w:cs="Arial"/>
            <w:color w:val="0000FF"/>
            <w:kern w:val="0"/>
            <w:szCs w:val="24"/>
            <w:u w:val="single"/>
            <w:lang w:eastAsia="es-ES"/>
          </w:rPr>
          <w:t>Reglamentado por el Decreto Nacional 1338 de 2002</w:t>
        </w:r>
      </w:hyperlink>
      <w:r w:rsidRPr="00A524F8">
        <w:rPr>
          <w:rFonts w:ascii="Arial" w:eastAsia="Times New Roman" w:hAnsi="Arial" w:cs="Arial"/>
          <w:kern w:val="0"/>
          <w:szCs w:val="24"/>
          <w:lang w:eastAsia="es-ES"/>
        </w:rPr>
        <w:t xml:space="preserve">, </w:t>
      </w:r>
      <w:hyperlink r:id="rId109" w:anchor="0" w:history="1">
        <w:r w:rsidRPr="00A524F8">
          <w:rPr>
            <w:rFonts w:ascii="Arial" w:eastAsia="Times New Roman" w:hAnsi="Arial" w:cs="Arial"/>
            <w:color w:val="0000FF"/>
            <w:kern w:val="0"/>
            <w:szCs w:val="24"/>
            <w:u w:val="single"/>
            <w:lang w:eastAsia="es-ES"/>
          </w:rPr>
          <w:t>Reglamentado por el Decreto Nacional 306 de 2004</w:t>
        </w:r>
      </w:hyperlink>
      <w:r w:rsidRPr="00A524F8">
        <w:rPr>
          <w:rFonts w:ascii="Arial" w:eastAsia="Times New Roman" w:hAnsi="Arial" w:cs="Arial"/>
          <w:kern w:val="0"/>
          <w:szCs w:val="24"/>
          <w:lang w:eastAsia="es-ES"/>
        </w:rPr>
        <w:t>.  Fondo del Pasivo Prestacional para el Sector Salud. Suprímase el Fondo del Pasivo Prestacional para el Sector Salud creado por el artículo 33 de la Ley 60 de 1993. En adelante, con el fin de atender la responsabilidad financiera a cargo de la Nación para el pago de las cesantías y pensiones de las personas beneficiarias de dicho Fondo y de acuerdo con los convenios de concurrencia correspondientes, la Nación a través del Ministerio de Hacienda y Crédito Público, se hará cargo del giro de los recursos, así:</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61.1. Al encargo Fiduciario o Patrimonio Autónomo constituido por la entidad territorial para el pago de las mesadas y bonos pensionales de las Instituciones de Salud, de conformidad con el Decreto 1296 de 1994.</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61.2. A las entidades administradoras de pensiones o cesantías a las cuales se encuentren afiliados los servidores públicos.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61.3. A los fondos de que trata el artículo 23 del Decreto-ley 1299 de 1994 o a los fideicomisos a que se refiere el artículo 19, numeral 3 del mismo Decreto.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10" w:anchor="1" w:history="1">
        <w:r w:rsidRPr="00A524F8">
          <w:rPr>
            <w:rFonts w:ascii="Arial" w:eastAsia="Times New Roman" w:hAnsi="Arial" w:cs="Arial"/>
            <w:color w:val="0000FF"/>
            <w:kern w:val="0"/>
            <w:szCs w:val="24"/>
            <w:u w:val="single"/>
            <w:lang w:eastAsia="es-ES"/>
          </w:rPr>
          <w:t>Ver art. 33, Ley 60 de 1993</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62.</w:t>
      </w:r>
      <w:r w:rsidRPr="00A524F8">
        <w:rPr>
          <w:rFonts w:ascii="Arial" w:eastAsia="Times New Roman" w:hAnsi="Arial" w:cs="Arial"/>
          <w:kern w:val="0"/>
          <w:szCs w:val="24"/>
          <w:lang w:eastAsia="es-ES"/>
        </w:rPr>
        <w:t>  </w:t>
      </w:r>
      <w:hyperlink r:id="rId111" w:anchor="0" w:history="1">
        <w:r w:rsidRPr="00A524F8">
          <w:rPr>
            <w:rFonts w:ascii="Arial" w:eastAsia="Times New Roman" w:hAnsi="Arial" w:cs="Arial"/>
            <w:color w:val="0000FF"/>
            <w:kern w:val="0"/>
            <w:szCs w:val="24"/>
            <w:u w:val="single"/>
            <w:lang w:eastAsia="es-ES"/>
          </w:rPr>
          <w:t>Reglamentado por el Decreto Nacional 1338 de 2002</w:t>
        </w:r>
      </w:hyperlink>
      <w:r w:rsidRPr="00A524F8">
        <w:rPr>
          <w:rFonts w:ascii="Arial" w:eastAsia="Times New Roman" w:hAnsi="Arial" w:cs="Arial"/>
          <w:kern w:val="0"/>
          <w:szCs w:val="24"/>
          <w:lang w:eastAsia="es-ES"/>
        </w:rPr>
        <w:t xml:space="preserve">, </w:t>
      </w:r>
      <w:hyperlink r:id="rId112" w:anchor="0" w:history="1">
        <w:r w:rsidRPr="00A524F8">
          <w:rPr>
            <w:rFonts w:ascii="Arial" w:eastAsia="Times New Roman" w:hAnsi="Arial" w:cs="Arial"/>
            <w:color w:val="0000FF"/>
            <w:kern w:val="0"/>
            <w:szCs w:val="24"/>
            <w:u w:val="single"/>
            <w:lang w:eastAsia="es-ES"/>
          </w:rPr>
          <w:t>Reglamentado por el Decreto Nacional 306 de 2004</w:t>
        </w:r>
      </w:hyperlink>
      <w:r w:rsidRPr="00A524F8">
        <w:rPr>
          <w:rFonts w:ascii="Arial" w:eastAsia="Times New Roman" w:hAnsi="Arial" w:cs="Arial"/>
          <w:kern w:val="0"/>
          <w:szCs w:val="24"/>
          <w:lang w:eastAsia="es-ES"/>
        </w:rPr>
        <w:t>.  Convenios de Concurrencia. Para efectos de los convenios de concurrencia, los cuales deberán ser suscritos a partir de la vigencia de la presente ley por el Ministerio de Hacienda y Crédito Público, se continuarán aplicando los procedimientos del Fondo del Pasivo Prestacional del Sector Salud, la forma en que concurren las diferentes entidades para cubrir el pasivo prestacional, la forma de cálculo del mismo, su actualización financiera y actuarial, las obligaciones de los convenios de concurrencia y los requisitos que deben acreditarse.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Ministerio de Hacienda y Crédito Público podrá establecer, en concertación con el ente territorial, las condiciones para celebrar los convenios de concurrencia y el desarrollo de los mismos y de los que se encuentren en ejecución, para lo cual podrá verificar el contenido de los convenios suscritos y ordenará el ajuste a las normas sobre el particular.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Ministerio de Hacienda y Crédito Público deberá revisar y actualizar en forma periódica el valor de la deuda prestacional, definiendo la responsabilidad de cada uno de los entes que suscribe el convenio de concurrencia.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w:t>
      </w:r>
      <w:r w:rsidRPr="00A524F8">
        <w:rPr>
          <w:rFonts w:ascii="Arial" w:eastAsia="Times New Roman" w:hAnsi="Arial" w:cs="Arial"/>
          <w:kern w:val="0"/>
          <w:szCs w:val="24"/>
          <w:lang w:eastAsia="es-ES"/>
        </w:rPr>
        <w:t xml:space="preserve"> Para efectos de lo ordenado en el presente artículo, el Gobierno Nacional definirá la información, condiciones y términos que considere necesarios.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63.</w:t>
      </w:r>
      <w:r w:rsidRPr="00A524F8">
        <w:rPr>
          <w:rFonts w:ascii="Arial" w:eastAsia="Times New Roman" w:hAnsi="Arial" w:cs="Arial"/>
          <w:kern w:val="0"/>
          <w:szCs w:val="24"/>
          <w:lang w:eastAsia="es-ES"/>
        </w:rPr>
        <w:t>  </w:t>
      </w:r>
      <w:hyperlink r:id="rId113" w:anchor="0" w:history="1">
        <w:r w:rsidRPr="00A524F8">
          <w:rPr>
            <w:rFonts w:ascii="Arial" w:eastAsia="Times New Roman" w:hAnsi="Arial" w:cs="Arial"/>
            <w:color w:val="0000FF"/>
            <w:kern w:val="0"/>
            <w:szCs w:val="24"/>
            <w:u w:val="single"/>
            <w:lang w:eastAsia="es-ES"/>
          </w:rPr>
          <w:t>Reglamentado por el Decreto Nacional 1338 de 2002</w:t>
        </w:r>
      </w:hyperlink>
      <w:r w:rsidRPr="00A524F8">
        <w:rPr>
          <w:rFonts w:ascii="Arial" w:eastAsia="Times New Roman" w:hAnsi="Arial" w:cs="Arial"/>
          <w:kern w:val="0"/>
          <w:szCs w:val="24"/>
          <w:lang w:eastAsia="es-ES"/>
        </w:rPr>
        <w:t xml:space="preserve">, </w:t>
      </w:r>
      <w:hyperlink r:id="rId114" w:anchor="0" w:history="1">
        <w:r w:rsidRPr="00A524F8">
          <w:rPr>
            <w:rFonts w:ascii="Arial" w:eastAsia="Times New Roman" w:hAnsi="Arial" w:cs="Arial"/>
            <w:color w:val="0000FF"/>
            <w:kern w:val="0"/>
            <w:szCs w:val="24"/>
            <w:u w:val="single"/>
            <w:lang w:eastAsia="es-ES"/>
          </w:rPr>
          <w:t>Reglamentado por el Decreto Nacional 306 de 2004</w:t>
        </w:r>
      </w:hyperlink>
      <w:r w:rsidRPr="00A524F8">
        <w:rPr>
          <w:rFonts w:ascii="Arial" w:eastAsia="Times New Roman" w:hAnsi="Arial" w:cs="Arial"/>
          <w:kern w:val="0"/>
          <w:szCs w:val="24"/>
          <w:lang w:eastAsia="es-ES"/>
        </w:rPr>
        <w:t>.  Administración. Los recursos existentes en el Fondo del Pasivo Prestacional para el Sector Salud serán trasladados al Ministerio de Hacienda y Crédito Público, de manera que con cargo a dichos recursos, se efectúen los pagos correspondientes. Así mismo, los demás recursos que por ley se encontraban destinados al Fondo, serán entregados al Ministerio de Hacienda para financiar el pago de los pasivos prestacionales de los servidores del sector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64.</w:t>
      </w:r>
      <w:r w:rsidRPr="00A524F8">
        <w:rPr>
          <w:rFonts w:ascii="Arial" w:eastAsia="Times New Roman" w:hAnsi="Arial" w:cs="Arial"/>
          <w:kern w:val="0"/>
          <w:szCs w:val="24"/>
          <w:lang w:eastAsia="es-ES"/>
        </w:rPr>
        <w:t xml:space="preserve"> Giro de los recursos. Sobre la base del 100% del aforo que aparezca en la ley anual de presupuesto se determinará el programa anual de caja, en el cual se establecerán los giros mensuales correspondientes a la participación para salud. Los giros deberán efectuarse en los diez (10) primeros días del mes siguiente al que corresponde la transferencia, para tal efecto se aforará la participación para salud del Sistema General de participaciones en la ley anual de presupuesto, hasta por el monto que se girará en la respectiva vigencia.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Nación podrá girar los recursos del Sistema General de Participaciones y del Sistema General de Seguridad Social en Salud directamente a las entidades de aseguramiento o las instituciones prestadoras de servicios de salud, cuando las entidades territoriales no cumplan con las obligaciones propias del ejercicio de las competencias establecidas en la presente ley de acuerdo a la reglamentación que el Gobierno Nacional expida sobre la materia.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15" w:anchor="1" w:history="1">
        <w:r w:rsidRPr="00A524F8">
          <w:rPr>
            <w:rFonts w:ascii="Arial" w:eastAsia="Times New Roman" w:hAnsi="Arial" w:cs="Arial"/>
            <w:color w:val="0000FF"/>
            <w:kern w:val="0"/>
            <w:szCs w:val="24"/>
            <w:u w:val="single"/>
            <w:lang w:eastAsia="es-ES"/>
          </w:rPr>
          <w:t>Ver el art. 2 del Decreto 258 del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65.</w:t>
      </w:r>
      <w:r w:rsidRPr="00A524F8">
        <w:rPr>
          <w:rFonts w:ascii="Arial" w:eastAsia="Times New Roman" w:hAnsi="Arial" w:cs="Arial"/>
          <w:kern w:val="0"/>
          <w:szCs w:val="24"/>
          <w:lang w:eastAsia="es-ES"/>
        </w:rPr>
        <w:t xml:space="preserve"> Planes bienales de inversiones en salud. Las secretarías de salud departamentales y distritales prepararán cada dos años un plan bienal de inversiones públicas </w:t>
      </w:r>
      <w:r w:rsidRPr="00A524F8">
        <w:rPr>
          <w:rFonts w:ascii="Arial" w:eastAsia="Times New Roman" w:hAnsi="Arial" w:cs="Arial"/>
          <w:kern w:val="0"/>
          <w:szCs w:val="24"/>
          <w:u w:val="single"/>
          <w:lang w:eastAsia="es-ES"/>
        </w:rPr>
        <w:t>y privadas en salud,</w:t>
      </w:r>
      <w:r w:rsidRPr="00A524F8">
        <w:rPr>
          <w:rFonts w:ascii="Arial" w:eastAsia="Times New Roman" w:hAnsi="Arial" w:cs="Arial"/>
          <w:kern w:val="0"/>
          <w:szCs w:val="24"/>
          <w:lang w:eastAsia="es-ES"/>
        </w:rPr>
        <w:t xml:space="preserve"> en el cual se incluirán las destinadas a infraestructura, dotación o equipos biomédicos que el Ministerio de Salud determine que sean de control especial.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Estos planes se iniciarán con la elaboración de un inventario completo sobre la oferta existente en la respectiva red, y deberán presentarse a los Consejos Territoriales de Seguridad Social en Salud. Los Planes bienales deberán contar con la aprobación del Ministerio de Salud, para que se pueda iniciar cualquier obra o proceso de adquisición de bienes o servicios contemplado en ellos.</w:t>
      </w:r>
    </w:p>
    <w:p w:rsidR="00A524F8" w:rsidRPr="00A524F8" w:rsidRDefault="00A524F8" w:rsidP="00A524F8">
      <w:pPr>
        <w:spacing w:before="100" w:beforeAutospacing="1" w:after="100" w:afterAutospacing="1"/>
        <w:jc w:val="left"/>
        <w:rPr>
          <w:rFonts w:ascii="Arial" w:eastAsia="Times New Roman" w:hAnsi="Arial" w:cs="Arial"/>
          <w:kern w:val="0"/>
          <w:szCs w:val="24"/>
          <w:u w:val="single"/>
          <w:lang w:eastAsia="es-ES"/>
        </w:rPr>
      </w:pPr>
      <w:r w:rsidRPr="00A524F8">
        <w:rPr>
          <w:rFonts w:ascii="Arial" w:eastAsia="Times New Roman" w:hAnsi="Arial" w:cs="Arial"/>
          <w:kern w:val="0"/>
          <w:szCs w:val="24"/>
          <w:u w:val="single"/>
          <w:lang w:eastAsia="es-ES"/>
        </w:rPr>
        <w:t xml:space="preserve">No podrán realizarse inversiones en infraestructura, dotación o equipos, que no se encuentren en el plan bienal de inversiones en salud. </w:t>
      </w:r>
      <w:r w:rsidRPr="00A524F8">
        <w:rPr>
          <w:rFonts w:ascii="Arial" w:eastAsia="Times New Roman" w:hAnsi="Arial" w:cs="Arial"/>
          <w:kern w:val="0"/>
          <w:szCs w:val="24"/>
          <w:lang w:eastAsia="es-ES"/>
        </w:rPr>
        <w:t xml:space="preserve">Sin perjuicio de las sanciones administrativas a que hubiere lugar, la institución pública que realice inversiones por fuera del plan bienal, no podrá financiar con recursos del Sistema General de Participaciones el costo de la inversión o el de operación y funcionamiento de los nuevos servicios. </w:t>
      </w:r>
      <w:r w:rsidRPr="00A524F8">
        <w:rPr>
          <w:rFonts w:ascii="Arial" w:eastAsia="Times New Roman" w:hAnsi="Arial" w:cs="Arial"/>
          <w:kern w:val="0"/>
          <w:szCs w:val="24"/>
          <w:u w:val="single"/>
          <w:lang w:eastAsia="es-ES"/>
        </w:rPr>
        <w:t>Cuando las instituciones privadas realicen inversiones por fuera del plan bienal, no podrán ser contratadas con recursos del Sistema General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u w:val="single"/>
          <w:lang w:eastAsia="es-ES"/>
        </w:rPr>
      </w:pPr>
      <w:r w:rsidRPr="00A524F8">
        <w:rPr>
          <w:rFonts w:ascii="Arial" w:eastAsia="Times New Roman" w:hAnsi="Arial" w:cs="Arial"/>
          <w:kern w:val="0"/>
          <w:szCs w:val="24"/>
          <w:lang w:eastAsia="es-ES"/>
        </w:rPr>
        <w:t xml:space="preserve">El plan bienal de inversiones definirá la infraestructura y equipos necesarios en las áreas que el Ministerio de Salud defina como de control de oferta. Las instituciones públicas </w:t>
      </w:r>
      <w:r w:rsidRPr="00A524F8">
        <w:rPr>
          <w:rFonts w:ascii="Arial" w:eastAsia="Times New Roman" w:hAnsi="Arial" w:cs="Arial"/>
          <w:kern w:val="0"/>
          <w:szCs w:val="24"/>
          <w:u w:val="single"/>
          <w:lang w:eastAsia="es-ES"/>
        </w:rPr>
        <w:t xml:space="preserve">o privadas </w:t>
      </w:r>
      <w:r w:rsidRPr="00A524F8">
        <w:rPr>
          <w:rFonts w:ascii="Arial" w:eastAsia="Times New Roman" w:hAnsi="Arial" w:cs="Arial"/>
          <w:kern w:val="0"/>
          <w:szCs w:val="24"/>
          <w:lang w:eastAsia="es-ES"/>
        </w:rPr>
        <w:t xml:space="preserve">que realicen inversiones en estas áreas no previstas en el plan bienal, serán sancionadas. Los gerentes y las juntas directivas de las instituciones públicas podrán ser destituidos por mala conducta </w:t>
      </w:r>
      <w:r w:rsidRPr="00A524F8">
        <w:rPr>
          <w:rFonts w:ascii="Arial" w:eastAsia="Times New Roman" w:hAnsi="Arial" w:cs="Arial"/>
          <w:kern w:val="0"/>
          <w:szCs w:val="24"/>
          <w:u w:val="single"/>
          <w:lang w:eastAsia="es-ES"/>
        </w:rPr>
        <w:t>y las instituciones privadas no podrán ser contratadas con recursos del Sistema General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16" w:anchor="1" w:history="1">
        <w:r w:rsidRPr="00A524F8">
          <w:rPr>
            <w:rFonts w:ascii="Arial" w:eastAsia="Times New Roman" w:hAnsi="Arial" w:cs="Arial"/>
            <w:color w:val="0000FF"/>
            <w:kern w:val="0"/>
            <w:szCs w:val="24"/>
            <w:u w:val="single"/>
            <w:lang w:eastAsia="es-ES"/>
          </w:rPr>
          <w:t>Subrayado Declarado Inexequible Sentencia Corte Constitucional 615 de 2002</w:t>
        </w:r>
      </w:hyperlink>
      <w:r w:rsidRPr="00A524F8">
        <w:rPr>
          <w:rFonts w:ascii="Arial" w:eastAsia="Times New Roman" w:hAnsi="Arial" w:cs="Arial"/>
          <w:kern w:val="0"/>
          <w:szCs w:val="24"/>
          <w:lang w:eastAsia="es-ES"/>
        </w:rPr>
        <w:t xml:space="preserve"> , </w:t>
      </w:r>
      <w:hyperlink r:id="rId117" w:anchor="0" w:history="1">
        <w:r w:rsidRPr="00A524F8">
          <w:rPr>
            <w:rFonts w:ascii="Arial" w:eastAsia="Times New Roman" w:hAnsi="Arial" w:cs="Arial"/>
            <w:color w:val="0000FF"/>
            <w:kern w:val="0"/>
            <w:szCs w:val="24"/>
            <w:u w:val="single"/>
            <w:lang w:eastAsia="es-ES"/>
          </w:rPr>
          <w:t xml:space="preserve">Ver Resolución del Ministerio de Protección Social 1541 de 2003 </w:t>
        </w:r>
        <w:r w:rsidRPr="00A524F8">
          <w:rPr>
            <w:rFonts w:ascii="Arial" w:eastAsia="Times New Roman" w:hAnsi="Arial" w:cs="Arial"/>
            <w:color w:val="0000FF"/>
            <w:kern w:val="0"/>
            <w:szCs w:val="24"/>
            <w:u w:val="single"/>
            <w:lang w:eastAsia="es-ES"/>
          </w:rPr>
          <w:br/>
        </w:r>
        <w:r w:rsidRPr="00A524F8">
          <w:rPr>
            <w:rFonts w:ascii="Arial" w:eastAsia="Times New Roman" w:hAnsi="Arial" w:cs="Arial"/>
            <w:color w:val="0000FF"/>
            <w:kern w:val="0"/>
            <w:szCs w:val="24"/>
            <w:u w:val="single"/>
            <w:lang w:eastAsia="es-ES"/>
          </w:rPr>
          <w:br/>
        </w:r>
      </w:hyperlink>
      <w:r w:rsidRPr="00A524F8">
        <w:rPr>
          <w:rFonts w:ascii="Arial" w:eastAsia="Times New Roman" w:hAnsi="Arial" w:cs="Arial"/>
          <w:b/>
          <w:bCs/>
          <w:kern w:val="0"/>
          <w:szCs w:val="24"/>
          <w:lang w:eastAsia="es-ES"/>
        </w:rPr>
        <w:t>Artículo 66.</w:t>
      </w:r>
      <w:r w:rsidRPr="00A524F8">
        <w:rPr>
          <w:rFonts w:ascii="Arial" w:eastAsia="Times New Roman" w:hAnsi="Arial" w:cs="Arial"/>
          <w:kern w:val="0"/>
          <w:szCs w:val="24"/>
          <w:lang w:eastAsia="es-ES"/>
        </w:rPr>
        <w:t xml:space="preserve"> De la información para la asignación de recursos. La información utilizada para la distribución de recursos en materia de población urbana y rural, deberá ser suministrada por el Departamento Administrativo Nacional de Estadísticas, DANE.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información sobre la población pobre afiliada al Sistema General de Seguridad Social en Salud, provendrá del Sistema Integral de Información en Salud, del Ministerio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información sobre la población identificada por el Sistema de Identificación de Beneficiarios de Programas Sociales que determine el Conpes, será consolidada y suministrada por el Departamento Nacional de Planeación.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información sobre la extensión de departamentos, distritos y municipios será proporcionada por el Instituto Geográfico Agustín Codazzi, IGAC.</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La información para la aplicación de los criterios de equidad y eficiencia administrativa tenidos en cuenta para la distribución de los recursos del componente para acciones en salud pública, será suministrada por el Ministerio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factor de ajuste que pondera los servicios no incluidos en el Plan Obligatorio de Salud Subsidiado será definido conjuntamente por el Departamento Nacional de Planeación y el Ministerio de Salud.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67.</w:t>
      </w:r>
      <w:r w:rsidRPr="00A524F8">
        <w:rPr>
          <w:rFonts w:ascii="Arial" w:eastAsia="Times New Roman" w:hAnsi="Arial" w:cs="Arial"/>
          <w:kern w:val="0"/>
          <w:szCs w:val="24"/>
          <w:lang w:eastAsia="es-ES"/>
        </w:rPr>
        <w:t xml:space="preserve"> Atención de urgencias. La atención inicial de urgencias debe ser prestada en forma obligatoria por todas las entidades públicas y privadas que presten servicios de salud a todas las personas. Para el pago de servicios prestados su prestación no requiere contrato ni orden previa y el reconocimiento del costo de estos servicios se efectuará mediante resolución motivada en caso de ser un ente público el pagador. La atención de urgencias en estas condiciones no constituye hecho cumplido para efectos presupuestales y deberá cancelarse máximo en los tres (3) meses siguientes a la radicación de la factura de cobro.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68.</w:t>
      </w:r>
      <w:r w:rsidRPr="00A524F8">
        <w:rPr>
          <w:rFonts w:ascii="Arial" w:eastAsia="Times New Roman" w:hAnsi="Arial" w:cs="Arial"/>
          <w:kern w:val="0"/>
          <w:szCs w:val="24"/>
          <w:lang w:eastAsia="es-ES"/>
        </w:rPr>
        <w:t xml:space="preserve"> </w:t>
      </w:r>
      <w:hyperlink r:id="rId118" w:anchor="1" w:history="1">
        <w:r w:rsidRPr="00A524F8">
          <w:rPr>
            <w:rFonts w:ascii="Arial" w:eastAsia="Times New Roman" w:hAnsi="Arial" w:cs="Arial"/>
            <w:color w:val="0000FF"/>
            <w:kern w:val="0"/>
            <w:szCs w:val="24"/>
            <w:u w:val="single"/>
            <w:lang w:eastAsia="es-ES"/>
          </w:rPr>
          <w:t>Reglamentado Parcialmente por el Decreto Nacional 1015 del 2002</w:t>
        </w:r>
      </w:hyperlink>
      <w:r w:rsidRPr="00A524F8">
        <w:rPr>
          <w:rFonts w:ascii="Arial" w:eastAsia="Times New Roman" w:hAnsi="Arial" w:cs="Arial"/>
          <w:kern w:val="0"/>
          <w:szCs w:val="24"/>
          <w:lang w:eastAsia="es-ES"/>
        </w:rPr>
        <w:t xml:space="preserve"> , </w:t>
      </w:r>
      <w:hyperlink r:id="rId119" w:anchor="1" w:history="1">
        <w:r w:rsidRPr="00A524F8">
          <w:rPr>
            <w:rFonts w:ascii="Arial" w:eastAsia="Times New Roman" w:hAnsi="Arial" w:cs="Arial"/>
            <w:color w:val="0000FF"/>
            <w:kern w:val="0"/>
            <w:szCs w:val="24"/>
            <w:u w:val="single"/>
            <w:lang w:eastAsia="es-ES"/>
          </w:rPr>
          <w:t>Reglamentado Parcialmente por el Decreto Nacional 3023 de 2002</w:t>
        </w:r>
      </w:hyperlink>
      <w:r w:rsidRPr="00A524F8">
        <w:rPr>
          <w:rFonts w:ascii="Arial" w:eastAsia="Times New Roman" w:hAnsi="Arial" w:cs="Arial"/>
          <w:kern w:val="0"/>
          <w:szCs w:val="24"/>
          <w:lang w:eastAsia="es-ES"/>
        </w:rPr>
        <w:t xml:space="preserve"> Inspección y vigilancia. La Superintendencia Nacional de Salud tendrá como competencia realizar la inspección, vigilancia y control del cumplimiento de las normas constitucionales y legales del sector salud y de los recursos del mismo.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organizaciones de economía solidaria que realicen funciones de Entidades Promotoras de Salud, administradoras de régimen subsidiado o presten servicios de salud y que reciban recursos del Sistema General de Seguridad Social en Salud, estarán sometidas a la inspección, vigilancia y control de la Superintendencia Nacional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Superintendencia Nacional de Salud ejercerá funciones de inspección, vigilancia y control sobre las Instituciones Prestadoras de Servicios de Salud IPS, en relación con el cumplimiento de las normas técnicas, científicas, administrativas y financieras del sector salud. Los procesos de liquidación de las instituciones prestadoras de servicios de salud, IPS, privadas serán de competencia de la Superintendencia de Sociedades, con excepción de las fundaciones, corporaciones y demás entidades de utilidad común sin ánimo de lucro, siempre y cuando no hayan manejado recursos públicos o de la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Para el ejercicio de sus funciones, la Superintendencia Nacional de Salud, por medio de la jurisdicción coactiva, realizará el cobro de las tasas, contribuciones y multas a que hubiere lugar.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La Superintendencia Nacional de Salud ejercerá la intervención forzosa administrativa para administrar o liquidar las entidades vigiladas que cumplan funciones de explotación u operación de monopolios rentísticos, cedidos al sector salud, Empresas Promotoras de Salud e Instituciones Prestadoras de Salud de cualquier naturaleza, así como para intervenir técnica y </w:t>
      </w:r>
      <w:r w:rsidRPr="00A524F8">
        <w:rPr>
          <w:rFonts w:ascii="Arial" w:eastAsia="Times New Roman" w:hAnsi="Arial" w:cs="Arial"/>
          <w:kern w:val="0"/>
          <w:szCs w:val="24"/>
          <w:lang w:eastAsia="es-ES"/>
        </w:rPr>
        <w:lastRenderedPageBreak/>
        <w:t>administrativamente las direcciones territoriales de salud, en los términos de la ley y los reglamentos.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intervención de la Superintendencia de Salud a las Instituciones Prestadoras de Salud tendrá una primera fase que consistirá en el salvamento.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Sin perjuicio de la responsabilidad fiscal, disciplinaria y penal, la Superintendencia Nacional de Salud, en ejercicio de sus atribuciones y competencias, y previa solicitud de explicaciones, impondrá a los representantes legales de los departamentos, distritos y municipios, directores de salud, jefes de presupuesto, tesoreros y demás funcionarios responsables de la administración y manejo de los recursos sector salud en las entidades territoriales, multas hasta de 2.000 salarios mínimos legales mensuales vigentes a la fecha de la expedición del acto administrativo, a favor del Fondo de Solidaridad y Garantía, por incumplimiento de las instrucciones y órdenes impartidas por la Superintendencia, así como por la violación de la normatividad vigente sobre la prestación del servicio público de salud y el Sistema General de Seguridad Social en Salud. El pago de las multas debe hacerse con recursos de su propio peculio, y en consecuencia no se puede imputar al presupuesto de la entidad de la cual dependen.</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V</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Transición del Sistema General de Participaciones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20" w:anchor="1" w:history="1">
        <w:r w:rsidRPr="00A524F8">
          <w:rPr>
            <w:rFonts w:ascii="Arial" w:eastAsia="Times New Roman" w:hAnsi="Arial" w:cs="Arial"/>
            <w:color w:val="0000FF"/>
            <w:kern w:val="0"/>
            <w:szCs w:val="24"/>
            <w:u w:val="single"/>
            <w:lang w:eastAsia="es-ES"/>
          </w:rPr>
          <w:t>Ver el Decreto 159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69.</w:t>
      </w:r>
      <w:r w:rsidRPr="00A524F8">
        <w:rPr>
          <w:rFonts w:ascii="Arial" w:eastAsia="Times New Roman" w:hAnsi="Arial" w:cs="Arial"/>
          <w:kern w:val="0"/>
          <w:szCs w:val="24"/>
          <w:lang w:eastAsia="es-ES"/>
        </w:rPr>
        <w:t xml:space="preserve"> </w:t>
      </w:r>
      <w:hyperlink r:id="rId121" w:anchor="1" w:history="1">
        <w:r w:rsidRPr="00A524F8">
          <w:rPr>
            <w:rFonts w:ascii="Arial" w:eastAsia="Times New Roman" w:hAnsi="Arial" w:cs="Arial"/>
            <w:color w:val="0000FF"/>
            <w:kern w:val="0"/>
            <w:szCs w:val="24"/>
            <w:u w:val="single"/>
            <w:lang w:eastAsia="es-ES"/>
          </w:rPr>
          <w:t>Reglamentado parcialmente por el Decreto Nacional 102 de 2003</w:t>
        </w:r>
      </w:hyperlink>
      <w:r w:rsidRPr="00A524F8">
        <w:rPr>
          <w:rFonts w:ascii="Arial" w:eastAsia="Times New Roman" w:hAnsi="Arial" w:cs="Arial"/>
          <w:kern w:val="0"/>
          <w:szCs w:val="24"/>
          <w:lang w:eastAsia="es-ES"/>
        </w:rPr>
        <w:t xml:space="preserve"> Período de transición. Se fija un período de transición de dos (2) años contados a partir de la vigencia de la presente ley, para la aplicación plena de las fórmulas de distribución de recursos aquí establecidas y para disponer de la información necesaria que permita la aplicación permanente de los criterios de distribución establecidos.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Durante este período, los departamentos, distritos y municipios deberán preparar, consolidar y enviar al Ministerio de Salud, la información relacionada con todas las modalidades de prestación del servicio de salud en su jurisdicción y la información adicional que se requiera.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70.</w:t>
      </w:r>
      <w:r w:rsidRPr="00A524F8">
        <w:rPr>
          <w:rFonts w:ascii="Arial" w:eastAsia="Times New Roman" w:hAnsi="Arial" w:cs="Arial"/>
          <w:kern w:val="0"/>
          <w:szCs w:val="24"/>
          <w:lang w:eastAsia="es-ES"/>
        </w:rPr>
        <w:t xml:space="preserve"> Distribución inicial por componente de los recursos del Sistema General de Participaciones. Para el año 2002, los recursos producto del crecimiento adicional a la inflación, del Sistema General de Participaciones en Salud, serán destinados a financiar la nueva afiliación de la población pobre mediante subsidios a la demanda, aplicando el criterio de equidad, entendido como un indicador que pondera el déficit de cobertura del Régimen Subsidiado de la entidad territorial y su proporción de población por atender a nivel nacional, siempre que los recursos destinados a la prestación de los servicios de salud a la población pobre en lo no cubierto con subsidios a la demanda, mantengan el mismo monto de la vigencia anterior, incrementado en la inflación causada.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Para el mismo año, los recursos del Sistema General de Participaciones en Salud, una vez descontado el monto señalado en el inciso anterior, se distribuirán para financiar la población atendida por el Régimen Subsidiado en Salud, mediante subsidios a la demanda; para la prestación del servicio de salud a la población pobre en lo no cubierto con subsidios a la demanda y para las acciones de salud pública, definidos como prioritarios para el país por el Ministerio de Salud, de acuerdo a la participación del gasto financiado con transferencias para cada componente, en el total de las transferencias en el año 2001.</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Para el año 2003 la distribución de los recursos del Sistema General de Participaciones entre componentes será igual al monto destinado a cada uno en la vigencia anterior, incrementado en la inflación causada. Los recursos producto del crecimiento adicional a la inflación del Sistema General de Participaciones en Salud, serán destinados durante el período de transición a financiar la nueva afiliación de la población por atender urbana y rural al régimen subsidiado, aplicando el criterio de equidad en los términos señalados en el presente artículo y siempre que los recursos destinados a la prestación de los servicios de salud a la población pobre en lo no cubierto con subsidios a la demanda, mantengan el mismo monto de la vigencia anterior, incrementado en la inflación causada.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Para la distribución de los recursos durante estas vigencias fiscales entre las entidades territoriales se aplicarán las fórmulas generales establecidas en la presente ley para la distribución de los recursos del Sistema Genera l de Participaciones para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recursos de cofinanciación de la Nación destinados a la atención en salud de la población pobre mediante subsidios a la demanda, contribuirán a garantizar la continuidad de la población afiliada al Régimen Subsidiado en la vigencia anterior al inicio del periodo de transición definido en la presente ley, una vez descontados por cada entidad territorial los recursos del Sistema General de Participaciones para salud y los recursos propios destinados a financiar la continuidad de cobertura. El monto excedente deberá distribuirse para el financiamiento de la ampliación de cobertura entre los entes territoriales, de acuerdo con los criterios que establezca el Consejo Nacional de Seguridad Social en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Anualmente la Nación establecerá la meta de ampliación de cobertura nacional para la vigencia siguiente, la cual deberá reflejarse en la apropiación de recursos presentada en el proyecto de ley de presupuesto.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Después del período de transición, el Sistema General de Seguridad Social en Salud deberá recuperar la meta de lograr aseguramiento universal de la población. El Consejo Nacional de Seguridad Social en Salud deberá definir, antes de diciembre del año 2003, el plan de generación y reasignación de recursos para lograrlo.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xml:space="preserve">. Teniendo en cuenta que al entrar en vigencia la presente ley, existen recursos nacionales cedidos a los departamentos que financiaban la </w:t>
      </w:r>
      <w:r w:rsidRPr="00A524F8">
        <w:rPr>
          <w:rFonts w:ascii="Arial" w:eastAsia="Times New Roman" w:hAnsi="Arial" w:cs="Arial"/>
          <w:kern w:val="0"/>
          <w:szCs w:val="24"/>
          <w:lang w:eastAsia="es-ES"/>
        </w:rPr>
        <w:lastRenderedPageBreak/>
        <w:t>afiliación al régimen subsidiado y que es necesario garantizar la sostenibilidad de la cobertura alcanzada durante el año 2001 con cargo a éstos, se incluye en el cálculo del componente para la financiación de la población atendida por el régimen subsidiado, los recursos cedidos destinados a demanda durante la vigencia fiscal 2001. Estos se descontarán de los destinados a financiar la prestación de servicios de salud a la población pobre en lo no cubierto con subsidios a la demanda.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Durante el año 2002 la distribución de los recursos para las acciones de salud pública, definidas como prioritarias para el país por el Ministerio de Salud, asignados por eficiencia administrativa, será proporcional a la población susceptible de ser vacunada.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71.</w:t>
      </w:r>
      <w:r w:rsidRPr="00A524F8">
        <w:rPr>
          <w:rFonts w:ascii="Arial" w:eastAsia="Times New Roman" w:hAnsi="Arial" w:cs="Arial"/>
          <w:kern w:val="0"/>
          <w:szCs w:val="24"/>
          <w:lang w:eastAsia="es-ES"/>
        </w:rPr>
        <w:t xml:space="preserve"> De la metodología para la asignación de recursos. Durante el período de transición se entiende como población por atender urbana y rural la población total menos la población asegurada en los regímenes contributivo, subsidiado o excepcionales.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Se entiende por dispersión poblacional el resultado de dividir la extensión en kilómetros cuadrados de cada distrito o municipio entre la población urbana y rural del mismo. El ajuste se hará en favor de los municipios cuyo indicador esté por encima del promedio nacional, de acuerdo a un factor que determinará anualmente el Conpes.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Al departamento Archipiélago de San Andrés y Providencia se le aplicará el factor de ajuste que le corresponda a las entidades cuya dispersión esté por encima del promedio nacional.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Durante el período de transición los municipios deberán identificar la población pobre y vulnerable afiliada y no afiliada al Sistema General de Seguridad Social en Salud, a través de la metodología definida por el Conpes, financiada con recursos de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72.</w:t>
      </w:r>
      <w:r w:rsidRPr="00A524F8">
        <w:rPr>
          <w:rFonts w:ascii="Arial" w:eastAsia="Times New Roman" w:hAnsi="Arial" w:cs="Arial"/>
          <w:kern w:val="0"/>
          <w:szCs w:val="24"/>
          <w:lang w:eastAsia="es-ES"/>
        </w:rPr>
        <w:t xml:space="preserve"> Inspección, vigilancia y control. El Gobierno Nacional adoptará dentro de los seis meses siguientes a la promulgación de. la presente ley, normas que reglamenten la estructura y funciones para el desarrollo la inspección, vigilancia y control del sector salud y del Sistema General de Seguridad Social en Salud, conforme a las competencias definidas en la presente Ley, con el fin de fortalecer la capacidad técnica, financiera, administrativa y operativa de las entidades que ejercen estas funciones, con el concurso de los diferentes niveles territoriales. En ningún caso lo dispuesto en este artículo conllevará la creación de nuevas entidades.</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TITULO IV</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PARTICIPACION DE PROPOSITO GENERAL</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Competencias de la Nación en otros sectores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Artículo 73.</w:t>
      </w:r>
      <w:r w:rsidRPr="00A524F8">
        <w:rPr>
          <w:rFonts w:ascii="Arial" w:eastAsia="Times New Roman" w:hAnsi="Arial" w:cs="Arial"/>
          <w:kern w:val="0"/>
          <w:szCs w:val="24"/>
          <w:lang w:eastAsia="es-ES"/>
        </w:rPr>
        <w:t xml:space="preserve"> Competencias de la Nación en otros sectores. Corresponde a la Nación, además de las funciones señaladas en la Constitución y sin perjuicio de las asignadas en otras normas, las siguientes competencias: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73.1. Formular las políticas y objetivos de desarrollo del país, promoviendo su articulación con las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73.2. Asesorar y prestar asistencia técnica a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73.3. Distribuir los recursos del Sistema General de Participaciones y ejercer las labores de seguimiento y evaluación del mismo.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73.4. Ejercer el seguimiento y la evaluación de los planes, programas y proyectos desarrollados por las entidades territoriales con los recursos del Sistema General de Participaciones y publicar los resultados obtenidos para facilitar el control social.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73.5. Intervenir en los términos señalados en la ley a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73.6. Ejercer las labores de inspección y vigilancia de las políticas públicas sectoriales y vigilar su cumplimiento.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73.7. Promover los mecanismos de participación ciudadana en todos los niveles de la administración 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73.8. Dictar las normas científicas, técnicas y administrativas para la organización y prestación de los servicios que son responsabilidad del Estado.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73.9 Los demás que se requieran en desarrollo de las funciones de administración, distribución y control del Sistema General de Participaciones.</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II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Competencias de las entidades territoriales en otros sectores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39" w:name="74"/>
      <w:r w:rsidRPr="00A524F8">
        <w:rPr>
          <w:rFonts w:ascii="Arial" w:eastAsia="Times New Roman" w:hAnsi="Arial" w:cs="Arial"/>
          <w:b/>
          <w:bCs/>
          <w:kern w:val="0"/>
          <w:szCs w:val="24"/>
          <w:lang w:eastAsia="es-ES"/>
        </w:rPr>
        <w:t> </w:t>
      </w:r>
      <w:bookmarkEnd w:id="39"/>
      <w:r w:rsidRPr="00A524F8">
        <w:rPr>
          <w:rFonts w:ascii="Arial" w:eastAsia="Times New Roman" w:hAnsi="Arial" w:cs="Arial"/>
          <w:b/>
          <w:bCs/>
          <w:kern w:val="0"/>
          <w:szCs w:val="24"/>
          <w:lang w:eastAsia="es-ES"/>
        </w:rPr>
        <w:t>74.</w:t>
      </w:r>
      <w:r w:rsidRPr="00A524F8">
        <w:rPr>
          <w:rFonts w:ascii="Arial" w:eastAsia="Times New Roman" w:hAnsi="Arial" w:cs="Arial"/>
          <w:kern w:val="0"/>
          <w:szCs w:val="24"/>
          <w:lang w:eastAsia="es-ES"/>
        </w:rPr>
        <w:t xml:space="preserve"> Competencias de los Departamentos en otros sectores. Los Departamentos son promotores del desarrollo económico y social dentro de su territorio y ejercen funciones administrativas, de coordinación, de complementariedad de la acción municipal, de intermediación entre la Nación y los Municipios y de prestación de los servicios.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Sin perjuicio de las establecidas en otras normas, corresponde a los Departamentos el ejercicio de las siguientes competencias: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74.1. Planificar y orientar las políticas de desarrollo y de prestación de servicios públicos en el departamento y coordinar su ejecución con los municipios.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74.2. Promover, financiar o cofinanciar proyectos nacionales, departamentales o municipales de interés departamental.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74.3. Administrar los recursos cedidos por la Nación, atendiendo su destinación legal cuando la tengan.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74.4. Promover la armonización de las actividades de los Municipios entre sí, con el Departamento y con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74.5. Asesorar y prestar asistencia técnica, administrativa y financiera a los Municipios y a las instituciones de prestación de servicios para el ejercicio de las competencias asignadas por la ley, cuando a ello haya lugar.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74.6. Realizar el seguimiento y la evaluación de la acción de los municipios y de la prestación de los servicios a cargo de estos e informar los resultados de la evaluación y seguimiento a la Nación, autoridades locales y a la comunidad.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74.7. Promover y fomentar la participación de las entidades privadas, comunitarias y sin ánimo de lucro en la prestación de los servicios que deben prestarse en el departamento.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74.8. Adelantar la construcción y la conservación de todos los componentes de la infraestructura de transporte que les corresponda.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74.9 Desarrollar y ejecutar programas y políticas para el mantenimiento del medio ambiente y los recursos naturales renovables.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74.10. Coordinar y dirigir con la colaboración de las Corporaciones Autónomas Regionales, las actividades de control y vigilancia ambientales intermunicipales, que se realicen en el territorio del departamento.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74.11. Organizar sistemas de coordinación de las entidades prestadoras de servicios públicos y promover, cuando razones técnicas y económicas lo aconsejen, la organización de asociaciones de municipios para la prestación de servicios públicos, o la celebración de convenios para el mismo efecto.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74.12. Coordinar acciones entre los municipios orientadas a desarrollar programas y actividades que permitan fomentar la práctica del deporte, la recreación y el aprovechamiento del tiempo libre en el territorio departamental.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74.13. Coordinar acciones entre los municipios orientadas a desarrollar programas y actividades que permitan fomentar las artes en todas sus expresiones y demás manifestaciones simbólicas expresivas.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74.14. En materia de orden público, seguridad, convivencia ciudadana y protección del ciudadano.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74.14.1. Apoyar con recursos la labor que realiza la fuerza pública en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74.14.2. Preservar y mantener el orden público en su jurisdicción atendiendo las políticas que establezca el Presidente de la República.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74.15. Participar en la promoción del empleo y la protección de los desempleados.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0" w:name="75"/>
      <w:r w:rsidRPr="00A524F8">
        <w:rPr>
          <w:rFonts w:ascii="Arial" w:eastAsia="Times New Roman" w:hAnsi="Arial" w:cs="Arial"/>
          <w:b/>
          <w:bCs/>
          <w:kern w:val="0"/>
          <w:szCs w:val="24"/>
          <w:lang w:eastAsia="es-ES"/>
        </w:rPr>
        <w:t> </w:t>
      </w:r>
      <w:bookmarkEnd w:id="40"/>
      <w:r w:rsidRPr="00A524F8">
        <w:rPr>
          <w:rFonts w:ascii="Arial" w:eastAsia="Times New Roman" w:hAnsi="Arial" w:cs="Arial"/>
          <w:b/>
          <w:bCs/>
          <w:kern w:val="0"/>
          <w:szCs w:val="24"/>
          <w:lang w:eastAsia="es-ES"/>
        </w:rPr>
        <w:t>75.</w:t>
      </w:r>
      <w:r w:rsidRPr="00A524F8">
        <w:rPr>
          <w:rFonts w:ascii="Arial" w:eastAsia="Times New Roman" w:hAnsi="Arial" w:cs="Arial"/>
          <w:kern w:val="0"/>
          <w:szCs w:val="24"/>
          <w:lang w:eastAsia="es-ES"/>
        </w:rPr>
        <w:t xml:space="preserve"> Competencias de los distritos. Los distritos tendrán las mismas competencias que los municipios y departamentos, excepto aquellas que correspondan a la función de intermediación con los municipios y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1" w:name="76"/>
      <w:r w:rsidRPr="00A524F8">
        <w:rPr>
          <w:rFonts w:ascii="Arial" w:eastAsia="Times New Roman" w:hAnsi="Arial" w:cs="Arial"/>
          <w:b/>
          <w:bCs/>
          <w:kern w:val="0"/>
          <w:szCs w:val="24"/>
          <w:lang w:eastAsia="es-ES"/>
        </w:rPr>
        <w:t> </w:t>
      </w:r>
      <w:bookmarkEnd w:id="41"/>
      <w:r w:rsidRPr="00A524F8">
        <w:rPr>
          <w:rFonts w:ascii="Arial" w:eastAsia="Times New Roman" w:hAnsi="Arial" w:cs="Arial"/>
          <w:b/>
          <w:bCs/>
          <w:kern w:val="0"/>
          <w:szCs w:val="24"/>
          <w:lang w:eastAsia="es-ES"/>
        </w:rPr>
        <w:t>76.</w:t>
      </w:r>
      <w:r w:rsidRPr="00A524F8">
        <w:rPr>
          <w:rFonts w:ascii="Arial" w:eastAsia="Times New Roman" w:hAnsi="Arial" w:cs="Arial"/>
          <w:kern w:val="0"/>
          <w:szCs w:val="24"/>
          <w:lang w:eastAsia="es-ES"/>
        </w:rPr>
        <w:t xml:space="preserve"> Competencias del municipio en otros sectores. Además de las establecidas en la Constitución y en otras disposiciones, corresponde a los Municipios, directa o indirectamente, con recursos propios, del Sistema General de Participaciones u otros recursos, promover, financiar o cofinanciar proyectos de interés municipal y en especial ejercer las siguientes competencias: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 Servicios Públicos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Realizar directamente o a través de terceros en materia de servicios públicos además de las competencias establecidas en otras normas vigentes la construcción, ampliación rehabilitación y mejoramiento de la infraestructura de servicios públicos.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76.2. En materia de vivienda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76.2.1. Participar en el Sistema Nacional de Vivienda de Interés Social.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76.2.2. Promover y apoyar programas o proyectos de vivienda de interés social, otorgando subsidios para dicho objeto, de conformidad con los criterios de focalización nacionales, si existe disponibilidad de recursos para ello.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76.3. En el sector agropecuario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76.3.1. Promover, participar y/o financiar proyectos de desarrollo del área rural.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76.3.2. Prestar, directa o indirectamente el servicio de asistencia técnica agropecuaria.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76.3.3. Promover mecanismos de asociación y de alianzas de pequeños y medianos productores.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76.4. En materia de transporte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76.4.1. Construir y conservar la infraestructura municipal de transporte, las vías urbanas, suburbanas, veredales y aquellas que sean propiedad del municipio, las instalaciones portuarias, fluviales y marítimas, los aeropuertos y los terminales de transporte terrestre, en la medida que sean de su propiedad o cuando éstos le sean transferidos directa o indirectamente.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vías urbanas que forman parte de las carreteras nacionales seguirán a cargo de la Nación.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76.4.2. Planear e identificar prioridades de infraestructura de transporte en su jurisdicción y desarrollar alternativas viables.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76.5. En materia ambiental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76.5.1. Tomar las medidas necesarias para el control, la preservación y la defensa del medio ambiente en el municipio, en coordinación con las corporaciones autónomas regionales.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76.5.2. Promover, participar y ejecutar programas y políticas para mantener el ambiente sano.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76.5.3. Coordinar y dirigir, con la asesoría de las Corporaciones Autónomas Regionales, las actividades permanentes de control y vigilancia ambientales, que se realicen en el territorio del municipio.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76.5.4. Ejecutar obras o proyectos de descontaminación de corrientes o depósitos de agua afectados por vertimientos, así como programas de disposición, eliminación y reciclaje de residuos líquidos y sólidos y de control a las emisiones contaminantes del aire.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76.5.5. Promover, cofinanciar o ejecutar, en coordinación con otras entidades públicas, comunitarias o privadas, obras y proyectos de irrigación, drenaje, recuperación de tierras, defensa contra las inundaciones y regulación de cauces o corrientes de agua.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76.5.6. Realizar las actividades necesarias para el adecuado manejo y aprovechamiento de cuencas y microcuencas hidrográficas.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76.5.7. Prestar el servicio de asistencia técnica y realizar transferencia de tecnología en lo relacionado con la defensa del medio ambiente y la protección de los recursos naturales.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76.6. En materia de centros de reclusión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en coordinación con el Instituto Nacional Penitenciario y Carcelario, Inpec, podrán apoyar la creación, fusión o supresión, dirección, organización, administración, sostenimiento y vigilancia de las cárceles para las personas detenidas preventivamente y condenadas por contravenciones que impliquen privación de la libertad.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76.7. En deporte y recreación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76.7.1. Planear y desarrollar programas y actividades que permitan fomentar la práctica del deporte, la recreación, el aprovechamiento del tiempo libre y la educación física en su territorio.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76.7.2. Construir, administrar, mantener y adecuar los respectivos escenarios deportivos.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76.7.3. Cooperar con otros entes deportivos públicos y privados para el cumplimiento de los objetivos previstos en la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76.8. En cultura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76.8.1. Fomentar el acceso, la innovación, la creación y la producción artística y cultural en el municipio.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76.8.2. Apoyar y fortalecer los procesos de información, investigación, comunicación y formación y las expresiones multiculturales del municipio.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76.8.3. Apoyar la construcción, dotación, sostenimiento y mantenimiento de la infraestructura cultural del municipio y su apropiación creativa por parte de las comunidades; y proteger el patrimonio cultural en sus distintas expresiones y su adecuada incorporación al crecimiento económico y a los procesos de construcción ciudadana.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76.8.4. Apoyar el desarrollo de las redes de información cultural y bienes, servicios e instituciones culturales (museos, bibliotecas, archivos, bandas, orquestas, etc.), así como otras iniciativas de organización del sector cultural.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76.8.5. Formular, orientar y ejecutar los planes, programas, proyectos y eventos municipales teniendo como referencia el Plan Decenal de Cultura.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76.9. En prevención y atención de desastres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con la cofinanciación de la Nación y los departamentos podrán: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76.9.1. Prevenir y atender los desastres en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76.9.2. Adecuar las áreas urbanas y rurales en zonas de alto riesgo y reubicación de asentamientos.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76.10. En materia de promoción del desarrollo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76.10.1. Promover asociaciones y concertar alianzas estratégicas para apoyar el desarrollo empresarial e industrial del municipio y en general las actividades generadoras de empleo.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76.10.2. Promover la capacitación, apropiación tecnológica avanzada y asesoría empresarial.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76.11. Atención a grupos vulnerables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Podrán establecer programas de apoyo integral a grupos de población vulnerable, como la población infantil, ancianos, desplazados o madres cabeza de hogar. </w:t>
      </w:r>
      <w:hyperlink r:id="rId122" w:anchor="21" w:history="1">
        <w:r w:rsidRPr="00A524F8">
          <w:rPr>
            <w:rFonts w:ascii="Arial" w:eastAsia="Times New Roman" w:hAnsi="Arial" w:cs="Arial"/>
            <w:color w:val="0000FF"/>
            <w:kern w:val="0"/>
            <w:szCs w:val="24"/>
            <w:u w:val="single"/>
            <w:lang w:eastAsia="es-ES"/>
          </w:rPr>
          <w:t>Ver el parágrafo 2, art. 21, Ley 1176 de 2007</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76.12. Equipamiento municipal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Construir, ampliar y mantener la infraestructura del edificio de la Alcaldía, las plazas públicas, el cementerio, el matadero municipal y la plaza de mercado y los demás bienes de uso público, cuando sean de su propiedad.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76.13. Desarrollo comunitario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Promover mecanismos de participación comunitaria para lo cual podrá convocar, reunir y capacitar a la comunidad.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76.14. Fortalecimiento institucional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76.14.1. Realizar procesos integrales de evaluación institucional y capacitación, que le permitan a la administración local mejorar su gestión y adecuar su estructura administrativa, para el desarrollo eficiente de sus competencias, dentro de sus límites financieros.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76.14.2. Adelantar las actividades relacionadas con la reorganización de la administración local con el fin de optimizar su capacidad para la atención de sus competencias constitucionales y legales, especialmente: El pago de indemnizaciones de personal originadas en programas de saneamiento fiscal y financiero por el tiempo de duración de los mismos; y, el servicio de los créditos que se contraten para ese propósito.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76.14.3. Financiar los gastos destinados a cubrir el déficit fiscal, el pasivo laboral y el pasivo prestacional, existentes a 31 de diciembre de 2000, siempre y cuando tales gastos se encuentren contemplados en programas de saneamiento fiscal y financiero, con el cumplimiento de todos los términos y requisitos establecidos en la Ley 617 de 2000 y sus reglamentos.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76.14.4. Cofínanciar cada dos años con la Nación la actualización del instrumento Sisbén o el que haga sus veces.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76.15. En justicia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podrán financiar las inspecciones de policía para la atención de las contravenciones y demás actividades de policía de competencia municipal.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76.16. En materia de orden público, seguridad, convivencia ciudadana y protección del ciudadano.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76.16.1. Apoyar con recursos la labor que realiza la fuerza pública en su jurisdicción.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76.16.2. Preservar y mantener el orden público en su jurisdicción, atendiendo las políticas que establezca el Presidente de la República.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76.17. Restaurantes escolares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23" w:anchor="1" w:history="1">
        <w:r w:rsidRPr="00A524F8">
          <w:rPr>
            <w:rFonts w:ascii="Arial" w:eastAsia="Times New Roman" w:hAnsi="Arial" w:cs="Arial"/>
            <w:color w:val="0000FF"/>
            <w:kern w:val="0"/>
            <w:szCs w:val="24"/>
            <w:u w:val="single"/>
            <w:lang w:eastAsia="es-ES"/>
          </w:rPr>
          <w:t>Ver el Decreto 159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Corresponde a los distritos y municipios garantizar el servicio de restaurante para los estudiantes de su jurisdicción, en desarrollo de esta competencia deberán adelantar programas de alimentación escolar con los recursos descontados para tal fin de conformidad con establecido en artículo 2°, parágrafo 2° de la presente ley, sin detrimento de los que destina el Instituto Colombiano de Bienestar Familiar a este tipo de programas u otras agencias públicas o privadas.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ejecución de los recursos para restaurantes escolares se programará con el concurso de los rectores y directores de las instituciones educativas.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Estos recursos se distribuirán conforme a fórmula para la distribución de recursos de la participación de propósito general.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76.18. En empleo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Promover el empleo y la protección a los desempleados.</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CAPITULO III</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Distribución de la participación de propósito general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77.</w:t>
      </w:r>
      <w:r w:rsidRPr="00A524F8">
        <w:rPr>
          <w:rFonts w:ascii="Arial" w:eastAsia="Times New Roman" w:hAnsi="Arial" w:cs="Arial"/>
          <w:kern w:val="0"/>
          <w:szCs w:val="24"/>
          <w:lang w:eastAsia="es-ES"/>
        </w:rPr>
        <w:t xml:space="preserve"> Beneficiarios de la Participación de Propósito General. Los recursos de la participación de propósito general serán asignados a los municipios, distritos, el departamento archipiélago de San Andrés y Providencia, conforme al artículo 310 de la Constitución Política.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2" w:name="78"/>
      <w:r w:rsidRPr="00A524F8">
        <w:rPr>
          <w:rFonts w:ascii="Arial" w:eastAsia="Times New Roman" w:hAnsi="Arial" w:cs="Arial"/>
          <w:b/>
          <w:bCs/>
          <w:kern w:val="0"/>
          <w:szCs w:val="24"/>
          <w:lang w:eastAsia="es-ES"/>
        </w:rPr>
        <w:t> </w:t>
      </w:r>
      <w:bookmarkEnd w:id="42"/>
      <w:r w:rsidRPr="00A524F8">
        <w:rPr>
          <w:rFonts w:ascii="Arial" w:eastAsia="Times New Roman" w:hAnsi="Arial" w:cs="Arial"/>
          <w:b/>
          <w:bCs/>
          <w:kern w:val="0"/>
          <w:szCs w:val="24"/>
          <w:lang w:eastAsia="es-ES"/>
        </w:rPr>
        <w:t>78.</w:t>
      </w:r>
      <w:r w:rsidRPr="00A524F8">
        <w:rPr>
          <w:rFonts w:ascii="Arial" w:eastAsia="Times New Roman" w:hAnsi="Arial" w:cs="Arial"/>
          <w:kern w:val="0"/>
          <w:szCs w:val="24"/>
          <w:lang w:eastAsia="es-ES"/>
        </w:rPr>
        <w:t xml:space="preserve"> </w:t>
      </w:r>
      <w:hyperlink r:id="rId124" w:anchor="1" w:history="1">
        <w:r w:rsidRPr="00A524F8">
          <w:rPr>
            <w:rFonts w:ascii="Arial" w:eastAsia="Times New Roman" w:hAnsi="Arial" w:cs="Arial"/>
            <w:color w:val="0000FF"/>
            <w:kern w:val="0"/>
            <w:szCs w:val="24"/>
            <w:u w:val="single"/>
            <w:lang w:eastAsia="es-ES"/>
          </w:rPr>
          <w:t>Reglamentado por el Decreto Nacional 849 de 2002</w:t>
        </w:r>
      </w:hyperlink>
      <w:r w:rsidRPr="00A524F8">
        <w:rPr>
          <w:rFonts w:ascii="Arial" w:eastAsia="Times New Roman" w:hAnsi="Arial" w:cs="Arial"/>
          <w:kern w:val="0"/>
          <w:szCs w:val="24"/>
          <w:lang w:eastAsia="es-ES"/>
        </w:rPr>
        <w:t xml:space="preserve">, </w:t>
      </w:r>
      <w:hyperlink r:id="rId125" w:anchor="21" w:history="1">
        <w:r w:rsidRPr="00A524F8">
          <w:rPr>
            <w:rFonts w:ascii="Arial" w:eastAsia="Times New Roman" w:hAnsi="Arial" w:cs="Arial"/>
            <w:color w:val="0000FF"/>
            <w:kern w:val="0"/>
            <w:szCs w:val="24"/>
            <w:u w:val="single"/>
            <w:lang w:eastAsia="es-ES"/>
          </w:rPr>
          <w:t>Modificado por el art. 21, Ley 1176 de 2007</w:t>
        </w:r>
      </w:hyperlink>
      <w:r w:rsidRPr="00A524F8">
        <w:rPr>
          <w:rFonts w:ascii="Arial" w:eastAsia="Times New Roman" w:hAnsi="Arial" w:cs="Arial"/>
          <w:kern w:val="0"/>
          <w:szCs w:val="24"/>
          <w:lang w:eastAsia="es-ES"/>
        </w:rPr>
        <w:t>. Destino de los recursos de la participación de propósito general. Los municipios clasificados en las categorías 4ª, 5ª y 6ª, podrán destinar libremente, para inversión u otros gastos inherentes al funcionamiento de la administración municipal, hasta un veintiocho por ciento (28%) de los recursos que perciban por la Participación de Propósito General.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total de los recursos de la participación de propósito general asignado a los municipios de categorías Especial, 1ª, 2ª y 3ª; el 72% restante de los recursos de la participación de propósito general para los municipios de categoría 4ª, 5ª o 6ª; y el 100% de los recursos asignados de la participación de propósito general al departamento archipiélago de San Andrés y Providencia, se deberán destinar al desarrollo y ejecución de las competencias asignadas en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Del total de dichos recursos, las entidades territoriales destinarán el 41% para el desarrollo y ejecución de las competencias asignadas en agua potable y saneamiento básico. Los recursos para el sector agua potable y saneamiento básico se destinarán a la financiación de inversiones en infraestructura, así como a cubrir los subsidios que se otorguen a los estratos subsidiables de acuerdo con lo dispuesto en la Ley 142 de 1994.</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El cambio de destinación de estos recursos estará condicionado a la certificación que expida la Superintendencia de Servicios Públicos Domiciliarios, de acuerdo con la reglamentación que expida el Gobierno Nacional, en el sentido que el municipio o distrito tienen: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a) Coberturas reales superiores a noventa por ciento (90%) en acueducto y ochenta y cinco por ciento (85%) en alcantarillado;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b) Equilibrio financiero entre las contribuciones y los subsidios otorgados a los estratos subsidiables, de acuerdo con la Ley 142 de 1994 o aquellas que la modifiquen o adiciones;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 Que existan por realizar obras de infraestructura en agua potable y saneamiento básico en el territorio del municipio o distrito, adicionales a las tarifas cobradas a los usuarios.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ejecución de los recursos de la participación de propósito general deberá realizarse de acuerdo a programas y proyectos prioritarios de inversión viables incluidos en los presupuestos.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bookmarkStart w:id="43" w:name="78-1"/>
      <w:r w:rsidRPr="00A524F8">
        <w:rPr>
          <w:rFonts w:ascii="Arial" w:eastAsia="Times New Roman" w:hAnsi="Arial" w:cs="Arial"/>
          <w:b/>
          <w:bCs/>
          <w:kern w:val="0"/>
          <w:szCs w:val="24"/>
          <w:lang w:eastAsia="es-ES"/>
        </w:rPr>
        <w:t> </w:t>
      </w:r>
      <w:bookmarkEnd w:id="43"/>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Con los recursos de la participación de propósito general podrá cubrirse el servicio de la deuda originado en e l financiamiento de proyectos de inversión física, adquirida en desarrollo de las competencias de los municipios. Para el desarrollo de los mencionados proyectos se podrán pignorar los recursos de la Participación de propósito general.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Las transferencias de libre disposición podrán destinarse a subsidiar empleo o desempleo, en la forma y modalidades que reglamente el Gobierno Nacional.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3°</w:t>
      </w:r>
      <w:r w:rsidRPr="00A524F8">
        <w:rPr>
          <w:rFonts w:ascii="Arial" w:eastAsia="Times New Roman" w:hAnsi="Arial" w:cs="Arial"/>
          <w:kern w:val="0"/>
          <w:szCs w:val="24"/>
          <w:lang w:eastAsia="es-ES"/>
        </w:rPr>
        <w:t>.  </w:t>
      </w:r>
      <w:hyperlink r:id="rId126" w:anchor="49" w:history="1">
        <w:r w:rsidRPr="00A524F8">
          <w:rPr>
            <w:rFonts w:ascii="Arial" w:eastAsia="Times New Roman" w:hAnsi="Arial" w:cs="Arial"/>
            <w:color w:val="0000FF"/>
            <w:kern w:val="0"/>
            <w:szCs w:val="24"/>
            <w:u w:val="single"/>
            <w:lang w:eastAsia="es-ES"/>
          </w:rPr>
          <w:t>Modificado por el art. 49, Ley 863 de 2003</w:t>
        </w:r>
      </w:hyperlink>
      <w:r w:rsidRPr="00A524F8">
        <w:rPr>
          <w:rFonts w:ascii="Arial" w:eastAsia="Times New Roman" w:hAnsi="Arial" w:cs="Arial"/>
          <w:kern w:val="0"/>
          <w:szCs w:val="24"/>
          <w:lang w:eastAsia="es-ES"/>
        </w:rPr>
        <w:t>. Del total de los recursos de Propósito General destinase el 10% para el deporte, la recreación y la cultura: 7% para el deporte y la recreación y 3% a la cultura.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4" w:name="79"/>
      <w:r w:rsidRPr="00A524F8">
        <w:rPr>
          <w:rFonts w:ascii="Arial" w:eastAsia="Times New Roman" w:hAnsi="Arial" w:cs="Arial"/>
          <w:b/>
          <w:bCs/>
          <w:kern w:val="0"/>
          <w:szCs w:val="24"/>
          <w:lang w:eastAsia="es-ES"/>
        </w:rPr>
        <w:t> </w:t>
      </w:r>
      <w:bookmarkEnd w:id="44"/>
      <w:r w:rsidRPr="00A524F8">
        <w:rPr>
          <w:rFonts w:ascii="Arial" w:eastAsia="Times New Roman" w:hAnsi="Arial" w:cs="Arial"/>
          <w:b/>
          <w:bCs/>
          <w:kern w:val="0"/>
          <w:szCs w:val="24"/>
          <w:lang w:eastAsia="es-ES"/>
        </w:rPr>
        <w:t>79.</w:t>
      </w:r>
      <w:r w:rsidRPr="00A524F8">
        <w:rPr>
          <w:rFonts w:ascii="Arial" w:eastAsia="Times New Roman" w:hAnsi="Arial" w:cs="Arial"/>
          <w:kern w:val="0"/>
          <w:szCs w:val="24"/>
          <w:lang w:eastAsia="es-ES"/>
        </w:rPr>
        <w:t xml:space="preserve"> Criterios de distribución de los recursos de la participación de propósito general.  </w:t>
      </w:r>
      <w:hyperlink r:id="rId127" w:anchor="23" w:history="1">
        <w:r w:rsidRPr="00A524F8">
          <w:rPr>
            <w:rFonts w:ascii="Arial" w:eastAsia="Times New Roman" w:hAnsi="Arial" w:cs="Arial"/>
            <w:color w:val="0000FF"/>
            <w:kern w:val="0"/>
            <w:szCs w:val="24"/>
            <w:u w:val="single"/>
            <w:lang w:eastAsia="es-ES"/>
          </w:rPr>
          <w:t>Modificado por el art. 23, Ley 1176 de 2007</w:t>
        </w:r>
      </w:hyperlink>
      <w:r w:rsidRPr="00A524F8">
        <w:rPr>
          <w:rFonts w:ascii="Arial" w:eastAsia="Times New Roman" w:hAnsi="Arial" w:cs="Arial"/>
          <w:kern w:val="0"/>
          <w:szCs w:val="24"/>
          <w:lang w:eastAsia="es-ES"/>
        </w:rPr>
        <w:t>. Los recursos de la Participación de Propósito General serán distribuidos de la siguiente manera: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79.1. 40% según la pobreza relativa, para ello se tomará el grado de pobreza de cada distrito o municipio medido con el índice de Necesidades Básicas Insatisfechas, NBI, o el indicador que lo sustituya determinado por el DANE, en relación con el nivel de pobreza relativa nacional.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79.2. 40% en proporción a la población urbana y rural, para lo cual se tomará la población urbana y rural del distrito o municipio en la respectiva vigencia y su proporción sobre la población urbana y rural total del país, según los datos de población certificados por el Departamento Administrativo Nacional de Estadística DANE, que deberán tener en cuenta la información sobre la población desplazada.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79.3. 10% por eficiencia fiscal, entendida como el crecimiento promedio de los ingresos tributarios per cápita de las tres últimas vigencias fiscales. La información sobre la ejecución de ingresos tributarios será la informada por la entidad territorial y refrendada por el Contador General antes del 30 de junio de cada año.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79.4. 10% por eficiencia administrativa, entendida como el incentivo al distrito o municipio que conserve o aumente su relación de inversión, con ingresos corrientes de libre destinación, por persona, en dos vigencias sucesivas. La información para la medición de este indicador, será la remitida por el municipio y refrendada por el Contador General antes del 30 de junio de cada año. Adicionalmente los municipios que demuestren que mantienen actualizado el Sistema de Información de Beneficiarios Sisbén o el que haga sus veces, tendrán derecho a una ponderación adicional en dicho indicador, de conformidad con la metodología que apruebe el Conpes.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28" w:anchor="1" w:history="1">
        <w:r w:rsidRPr="00A524F8">
          <w:rPr>
            <w:rFonts w:ascii="Arial" w:eastAsia="Times New Roman" w:hAnsi="Arial" w:cs="Arial"/>
            <w:color w:val="0000FF"/>
            <w:kern w:val="0"/>
            <w:szCs w:val="24"/>
            <w:u w:val="single"/>
            <w:lang w:eastAsia="es-ES"/>
          </w:rPr>
          <w:t>Ver el Decreto 159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80.</w:t>
      </w:r>
      <w:r w:rsidRPr="00A524F8">
        <w:rPr>
          <w:rFonts w:ascii="Arial" w:eastAsia="Times New Roman" w:hAnsi="Arial" w:cs="Arial"/>
          <w:kern w:val="0"/>
          <w:szCs w:val="24"/>
          <w:lang w:eastAsia="es-ES"/>
        </w:rPr>
        <w:t xml:space="preserve"> Norma transitoria para la distribución de la Participación de Propósito General. A partir del año 2002 y hasta el año 2004, inclusive, un porcentaje creciente de la Participación de Propósito General se distribuirá entre los municipios, de acuerdo con los criterios previstos en la presente ley de la siguiente manera: El 60% en 2002, el 70% en 2003 y el 80% en 2004. El porcentaje restante de la participación en cada uno de los años de transición, se distribuirá en proporción directa al valor que hayan recibido lo s municipios y distritos por concepto de Participación en los Ingresos Corrientes de la Nación en 2001. A partir del año 2005 entrarán en plena vigencia los criterios establecidos en el presente artículo para distribuir la participación.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5" w:name="81"/>
      <w:r w:rsidRPr="00A524F8">
        <w:rPr>
          <w:rFonts w:ascii="Arial" w:eastAsia="Times New Roman" w:hAnsi="Arial" w:cs="Arial"/>
          <w:b/>
          <w:bCs/>
          <w:kern w:val="0"/>
          <w:szCs w:val="24"/>
          <w:lang w:eastAsia="es-ES"/>
        </w:rPr>
        <w:t> </w:t>
      </w:r>
      <w:bookmarkEnd w:id="45"/>
      <w:r w:rsidRPr="00A524F8">
        <w:rPr>
          <w:rFonts w:ascii="Arial" w:eastAsia="Times New Roman" w:hAnsi="Arial" w:cs="Arial"/>
          <w:b/>
          <w:bCs/>
          <w:kern w:val="0"/>
          <w:szCs w:val="24"/>
          <w:lang w:eastAsia="es-ES"/>
        </w:rPr>
        <w:t>81.</w:t>
      </w:r>
      <w:r w:rsidRPr="00A524F8">
        <w:rPr>
          <w:rFonts w:ascii="Arial" w:eastAsia="Times New Roman" w:hAnsi="Arial" w:cs="Arial"/>
          <w:kern w:val="0"/>
          <w:szCs w:val="24"/>
          <w:lang w:eastAsia="es-ES"/>
        </w:rPr>
        <w:t>  </w:t>
      </w:r>
      <w:hyperlink r:id="rId129" w:anchor="0" w:history="1">
        <w:r w:rsidRPr="00A524F8">
          <w:rPr>
            <w:rFonts w:ascii="Arial" w:eastAsia="Times New Roman" w:hAnsi="Arial" w:cs="Arial"/>
            <w:color w:val="0000FF"/>
            <w:kern w:val="0"/>
            <w:szCs w:val="24"/>
            <w:u w:val="single"/>
            <w:lang w:eastAsia="es-ES"/>
          </w:rPr>
          <w:t>Reglamentado parcialmente por el Decreto Nacional 456 de 2004</w:t>
        </w:r>
      </w:hyperlink>
      <w:r w:rsidRPr="00A524F8">
        <w:rPr>
          <w:rFonts w:ascii="Arial" w:eastAsia="Times New Roman" w:hAnsi="Arial" w:cs="Arial"/>
          <w:kern w:val="0"/>
          <w:szCs w:val="24"/>
          <w:lang w:eastAsia="es-ES"/>
        </w:rPr>
        <w:t xml:space="preserve">, </w:t>
      </w:r>
      <w:hyperlink r:id="rId130" w:anchor="0" w:history="1">
        <w:r w:rsidRPr="00A524F8">
          <w:rPr>
            <w:rFonts w:ascii="Arial" w:eastAsia="Times New Roman" w:hAnsi="Arial" w:cs="Arial"/>
            <w:color w:val="0000FF"/>
            <w:kern w:val="0"/>
            <w:szCs w:val="24"/>
            <w:u w:val="single"/>
            <w:lang w:eastAsia="es-ES"/>
          </w:rPr>
          <w:t>Reglamentado parcialmente por el Decreto Nacional 2277 de 2004</w:t>
        </w:r>
      </w:hyperlink>
      <w:r w:rsidRPr="00A524F8">
        <w:rPr>
          <w:rFonts w:ascii="Arial" w:eastAsia="Times New Roman" w:hAnsi="Arial" w:cs="Arial"/>
          <w:kern w:val="0"/>
          <w:szCs w:val="24"/>
          <w:lang w:eastAsia="es-ES"/>
        </w:rPr>
        <w:t>.  Giro de los recursos de la participación de propósito general. Los recursos de la participación de propósito general serán transferidos así:</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distritos y municipios recibirán directamente los recursos de la participación de propósito general.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Sobre la base del 100% del aforo que aparezca en la ley anual de presupuesto se determinará el programa anual de caja, en el cual se establecerán los giros mensuales correspondientes a la participación para propósito general a los distritos y municipios. Los giros deberán efectuarse en los diez (10) primeros días del mes siguiente al que corresponde la transferencia, para tal efecto se aforará la participación para propósito general del Sistema General de Participaciones en la ley anual de presupuesto, hasta por el monto que se girará en la respectiva vigencia.</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T I T U L O V</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DISPOSICIONES COMUNES AL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Artículo 82.</w:t>
      </w:r>
      <w:r w:rsidRPr="00A524F8">
        <w:rPr>
          <w:rFonts w:ascii="Arial" w:eastAsia="Times New Roman" w:hAnsi="Arial" w:cs="Arial"/>
          <w:kern w:val="0"/>
          <w:szCs w:val="24"/>
          <w:lang w:eastAsia="es-ES"/>
        </w:rPr>
        <w:t xml:space="preserve"> Resguardos Indígenas. En tanto no sean constituidas las entidades territoriales indígenas, serán beneficiarios del Sistema General de Participaciones los resguardos indígenas legalmente constituidos y reportados por el Ministerio del Interior al Departamento Nacional de Estadísticas, DANE, y al Departamento Nacional de Planeación en el año inmediatamente anterior a la vigencia para la cual se programan los recursos.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6" w:name="83"/>
      <w:r w:rsidRPr="00A524F8">
        <w:rPr>
          <w:rFonts w:ascii="Arial" w:eastAsia="Times New Roman" w:hAnsi="Arial" w:cs="Arial"/>
          <w:b/>
          <w:bCs/>
          <w:kern w:val="0"/>
          <w:szCs w:val="24"/>
          <w:lang w:eastAsia="es-ES"/>
        </w:rPr>
        <w:t> </w:t>
      </w:r>
      <w:bookmarkEnd w:id="46"/>
      <w:r w:rsidRPr="00A524F8">
        <w:rPr>
          <w:rFonts w:ascii="Arial" w:eastAsia="Times New Roman" w:hAnsi="Arial" w:cs="Arial"/>
          <w:b/>
          <w:bCs/>
          <w:kern w:val="0"/>
          <w:szCs w:val="24"/>
          <w:lang w:eastAsia="es-ES"/>
        </w:rPr>
        <w:t xml:space="preserve">83. </w:t>
      </w:r>
      <w:hyperlink r:id="rId131" w:anchor="1" w:history="1">
        <w:r w:rsidRPr="00A524F8">
          <w:rPr>
            <w:rFonts w:ascii="Arial" w:eastAsia="Times New Roman" w:hAnsi="Arial" w:cs="Arial"/>
            <w:color w:val="0000FF"/>
            <w:kern w:val="0"/>
            <w:szCs w:val="24"/>
            <w:u w:val="single"/>
            <w:lang w:eastAsia="es-ES"/>
          </w:rPr>
          <w:t>Reglamentado por el Decreto 1745 de 2002</w:t>
        </w:r>
      </w:hyperlink>
      <w:r w:rsidRPr="00A524F8">
        <w:rPr>
          <w:rFonts w:ascii="Arial" w:eastAsia="Times New Roman" w:hAnsi="Arial" w:cs="Arial"/>
          <w:kern w:val="0"/>
          <w:szCs w:val="24"/>
          <w:lang w:eastAsia="es-ES"/>
        </w:rPr>
        <w:t xml:space="preserve"> Distribución y administración de los recursos para resguardos indígenas. Los recursos para los resguardos indígenas se distribuirán en proporción a la participación de la población de la entidad o resguardo indígena, en el total de población indígena reportada por el Incora al DANE.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u w:val="single"/>
          <w:lang w:eastAsia="es-ES"/>
        </w:rPr>
        <w:t>Los recursos asignados a los resguardos indígenas, serán administrados por el municipio en el que se encuentra el resguardo indígena. Cuando este quede en jurisdicción de varios municipios, los recursos serán girados a cada uno de los municipios en proporción a la población indígena que comprenda. Sin embargo deberán manejarse en cuentas separadas a las propias de las entidades territoriales y para su ejecución deberá celebrarse un contrato entre la entidad territorial y las autoridades del resguardo, antes del 31 de diciembre de cada año, en la que se determine el uso de los recursos en el año siguiente. Copia de dicho contrato se enviará antes del 20 de enero al Ministerio del Interior.</w:t>
      </w:r>
      <w:r w:rsidRPr="00A524F8">
        <w:rPr>
          <w:rFonts w:ascii="Arial" w:eastAsia="Times New Roman" w:hAnsi="Arial" w:cs="Arial"/>
          <w:b/>
          <w:bCs/>
          <w:kern w:val="0"/>
          <w:szCs w:val="24"/>
          <w:lang w:eastAsia="es-ES"/>
        </w:rPr>
        <w:t xml:space="preserve"> Texto subrayado declarado EXEQUIBLE por la Corte Constitucional mediante Sentencia </w:t>
      </w:r>
      <w:hyperlink r:id="rId132" w:anchor="0" w:history="1">
        <w:r w:rsidRPr="00A524F8">
          <w:rPr>
            <w:rFonts w:ascii="Arial" w:eastAsia="Times New Roman" w:hAnsi="Arial" w:cs="Arial"/>
            <w:color w:val="0000FF"/>
            <w:kern w:val="0"/>
            <w:szCs w:val="24"/>
            <w:u w:val="single"/>
            <w:lang w:eastAsia="es-ES"/>
          </w:rPr>
          <w:t>C-921</w:t>
        </w:r>
      </w:hyperlink>
      <w:r w:rsidRPr="00A524F8">
        <w:rPr>
          <w:rFonts w:ascii="Arial" w:eastAsia="Times New Roman" w:hAnsi="Arial" w:cs="Arial"/>
          <w:b/>
          <w:bCs/>
          <w:kern w:val="0"/>
          <w:szCs w:val="24"/>
          <w:lang w:eastAsia="es-ES"/>
        </w:rPr>
        <w:t xml:space="preserve"> de 2007, en el entendido que dentro del marco de la Constitución y la ley, en el proceso de celebración y suscripción del contrato se debe asegurar el respeto de los derechos a la identidad cultural y a la participación de los resguardos y que en caso de discrepancia sobre el uso de los recursos, prevalecerá la decisión adoptada por las autoridades del respectivo resguardo.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Cuando los resguardos se erijan como Entidades Territoriales Indígenas, sus autoridades recibirán y administrarán directamente la transferencia.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Los recursos de la participación asignados a los resguardos indígenas deberán destinarse a satisfacer las necesidades básicas de salud incluyendo la afiliación al Régimen Subsidiado, educación preescolar, básica primaria y media, agua potable, vivienda y desarrollo agropecuario de la población indígena. En todo caso, siempre que la Nación realice inversiones en beneficio de la población indígena de dichos resguardos, las autoridades indígenas dispondrán parte de estos recursos para cofinanciar dichos proyectos. </w:t>
      </w:r>
      <w:hyperlink r:id="rId133" w:anchor="1" w:history="1">
        <w:r w:rsidRPr="00A524F8">
          <w:rPr>
            <w:rFonts w:ascii="Arial" w:eastAsia="Times New Roman" w:hAnsi="Arial" w:cs="Arial"/>
            <w:color w:val="0000FF"/>
            <w:kern w:val="0"/>
            <w:szCs w:val="24"/>
            <w:u w:val="single"/>
            <w:lang w:eastAsia="es-ES"/>
          </w:rPr>
          <w:t>Ver art. 1 Decreto Nacional 1512 de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secretarías departamentales de planeación, o quien haga sus veces, deberá desarrollar programas de capacitación, asesoría y asistencia técnica a los resguardos indígenas y autoridades municipales, para la adecuada programación y uso de los recursos.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w:t>
      </w:r>
      <w:r w:rsidRPr="00A524F8">
        <w:rPr>
          <w:rFonts w:ascii="Arial" w:eastAsia="Times New Roman" w:hAnsi="Arial" w:cs="Arial"/>
          <w:kern w:val="0"/>
          <w:szCs w:val="24"/>
          <w:lang w:eastAsia="es-ES"/>
        </w:rPr>
        <w:t xml:space="preserve"> La participación asignada a los resguardos indígenas se recibirá sin perjuicio de los recursos que los departamentos, distritos o municipios les asignen en razón de la población atendida y por atender en condiciones de </w:t>
      </w:r>
      <w:r w:rsidRPr="00A524F8">
        <w:rPr>
          <w:rFonts w:ascii="Arial" w:eastAsia="Times New Roman" w:hAnsi="Arial" w:cs="Arial"/>
          <w:kern w:val="0"/>
          <w:szCs w:val="24"/>
          <w:lang w:eastAsia="es-ES"/>
        </w:rPr>
        <w:lastRenderedPageBreak/>
        <w:t>eficiencia y de equidad en el caso de la educación de conformidad con el artículo 16 de esta ley, y el capítulo III del Título III en el caso de salud.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84.</w:t>
      </w:r>
      <w:r w:rsidRPr="00A524F8">
        <w:rPr>
          <w:rFonts w:ascii="Arial" w:eastAsia="Times New Roman" w:hAnsi="Arial" w:cs="Arial"/>
          <w:kern w:val="0"/>
          <w:szCs w:val="24"/>
          <w:lang w:eastAsia="es-ES"/>
        </w:rPr>
        <w:t xml:space="preserve"> Apropiación territorial de los recursos del Sistema General de Participaciones. Los ingresos y gastos de las entidades territoriales con recursos del Sistema General de Participaciones se apropiarán en los planes y presupuestos de los departamentos, distritos y municipios.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ingresos percibidos por el Sistema General de Participaciones, por ser de destinación específica, no forman parte de los ingresos corrientes de libre destinación de las entidades territoriales beneficiarias de los mismos.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7" w:name="85"/>
      <w:r w:rsidRPr="00A524F8">
        <w:rPr>
          <w:rFonts w:ascii="Arial" w:eastAsia="Times New Roman" w:hAnsi="Arial" w:cs="Arial"/>
          <w:b/>
          <w:bCs/>
          <w:kern w:val="0"/>
          <w:szCs w:val="24"/>
          <w:lang w:eastAsia="es-ES"/>
        </w:rPr>
        <w:t> </w:t>
      </w:r>
      <w:bookmarkEnd w:id="47"/>
      <w:r w:rsidRPr="00A524F8">
        <w:rPr>
          <w:rFonts w:ascii="Arial" w:eastAsia="Times New Roman" w:hAnsi="Arial" w:cs="Arial"/>
          <w:b/>
          <w:bCs/>
          <w:kern w:val="0"/>
          <w:szCs w:val="24"/>
          <w:lang w:eastAsia="es-ES"/>
        </w:rPr>
        <w:t>85.</w:t>
      </w:r>
      <w:r w:rsidRPr="00A524F8">
        <w:rPr>
          <w:rFonts w:ascii="Arial" w:eastAsia="Times New Roman" w:hAnsi="Arial" w:cs="Arial"/>
          <w:kern w:val="0"/>
          <w:szCs w:val="24"/>
          <w:lang w:eastAsia="es-ES"/>
        </w:rPr>
        <w:t>  </w:t>
      </w:r>
      <w:hyperlink r:id="rId134" w:anchor="0" w:history="1">
        <w:r w:rsidRPr="00A524F8">
          <w:rPr>
            <w:rFonts w:ascii="Arial" w:eastAsia="Times New Roman" w:hAnsi="Arial" w:cs="Arial"/>
            <w:color w:val="0000FF"/>
            <w:kern w:val="0"/>
            <w:szCs w:val="24"/>
            <w:u w:val="single"/>
            <w:lang w:eastAsia="es-ES"/>
          </w:rPr>
          <w:t>Reglamentado por el Decreto Nacional 4053 de 2004</w:t>
        </w:r>
      </w:hyperlink>
      <w:r w:rsidRPr="00A524F8">
        <w:rPr>
          <w:rFonts w:ascii="Arial" w:eastAsia="Times New Roman" w:hAnsi="Arial" w:cs="Arial"/>
          <w:kern w:val="0"/>
          <w:szCs w:val="24"/>
          <w:lang w:eastAsia="es-ES"/>
        </w:rPr>
        <w:t xml:space="preserve">, </w:t>
      </w:r>
      <w:hyperlink r:id="rId135" w:anchor="0" w:history="1">
        <w:r w:rsidRPr="00A524F8">
          <w:rPr>
            <w:rFonts w:ascii="Arial" w:eastAsia="Times New Roman" w:hAnsi="Arial" w:cs="Arial"/>
            <w:color w:val="0000FF"/>
            <w:kern w:val="0"/>
            <w:szCs w:val="24"/>
            <w:u w:val="single"/>
            <w:lang w:eastAsia="es-ES"/>
          </w:rPr>
          <w:t>Reglamentado parcialmente por el Decreto Nacional 4899 de 2007</w:t>
        </w:r>
      </w:hyperlink>
      <w:r w:rsidRPr="00A524F8">
        <w:rPr>
          <w:rFonts w:ascii="Arial" w:eastAsia="Times New Roman" w:hAnsi="Arial" w:cs="Arial"/>
          <w:kern w:val="0"/>
          <w:szCs w:val="24"/>
          <w:lang w:eastAsia="es-ES"/>
        </w:rPr>
        <w:t>.  Procedimiento de programación y distribución de los recursos del Sistema General de Participaciones. La programación y distribución de los recursos del Sistema General de Participaciones se realizará así:</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Ministerio de Hacienda y Crédito Público calculará los montos totales correspondientes a la vigencia siguiente del Sistema General de Participaciones, de que tratan los artículos 356 y 357 de la Constitución Política, y comunicará al Departamento Nacional de Planeación, el monto estimado que se incluirá en el proyecto de ley anual de presupuesto antes de su presentación.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Con fundamento en el monto proyectado para el presupuesto, el Departamento Nacional de Planeación realizará la distribución inicial del Sistema General de Participaciones de acuerdo con los criterios previstos en esta Ley, la cual deberá ser aprobada por el Conpes para la Política Social.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86.</w:t>
      </w:r>
      <w:r w:rsidRPr="00A524F8">
        <w:rPr>
          <w:rFonts w:ascii="Arial" w:eastAsia="Times New Roman" w:hAnsi="Arial" w:cs="Arial"/>
          <w:kern w:val="0"/>
          <w:szCs w:val="24"/>
          <w:lang w:eastAsia="es-ES"/>
        </w:rPr>
        <w:t>  </w:t>
      </w:r>
      <w:hyperlink r:id="rId136" w:anchor="0" w:history="1">
        <w:r w:rsidRPr="00A524F8">
          <w:rPr>
            <w:rFonts w:ascii="Arial" w:eastAsia="Times New Roman" w:hAnsi="Arial" w:cs="Arial"/>
            <w:color w:val="0000FF"/>
            <w:kern w:val="0"/>
            <w:szCs w:val="24"/>
            <w:u w:val="single"/>
            <w:lang w:eastAsia="es-ES"/>
          </w:rPr>
          <w:t>Reglamentado por el Decreto Nacional 4053 de 2004</w:t>
        </w:r>
      </w:hyperlink>
      <w:r w:rsidRPr="00A524F8">
        <w:rPr>
          <w:rFonts w:ascii="Arial" w:eastAsia="Times New Roman" w:hAnsi="Arial" w:cs="Arial"/>
          <w:kern w:val="0"/>
          <w:szCs w:val="24"/>
          <w:lang w:eastAsia="es-ES"/>
        </w:rPr>
        <w:t>. Ajuste del monto apropiado. Cuando la Nación constate que una entidad territorial recibió más recursos de los que le correspondería de conformidad con la presente ley, debido a deficiencias de la información, su participación deberá reducirse hasta el monto que efectivamente le corresponda. Cuando esta circunstancia se presente, los recursos girados en exceso se deducirán de la asignación del año siguiente.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Cuando en una vigencia fiscal el promedio de la variación porcentual de los ingresos corrientes de la Nación durante los cuatro años anteriores sea superior al promedio con el cual se programó el presupuesto, el Gobierno Nacional a través del Ministerio de Hacienda y Crédito Público presentará al Congreso de la República la correspondiente ley para asignar los recursos adicionales, en la vigencia fiscal subsiguiente. Por el contrario, si el promedio de la variación porcentual de los ingresos corrientes de la Nación durante los cuatro años anteriores es inferior al programado en el presupuesto, se dispondrá la reducción respectiva.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transitorio.</w:t>
      </w:r>
      <w:r w:rsidRPr="00A524F8">
        <w:rPr>
          <w:rFonts w:ascii="Arial" w:eastAsia="Times New Roman" w:hAnsi="Arial" w:cs="Arial"/>
          <w:kern w:val="0"/>
          <w:szCs w:val="24"/>
          <w:lang w:eastAsia="es-ES"/>
        </w:rPr>
        <w:t xml:space="preserve"> Cuando en una vigencia fiscal del período de transición previsto en el parágrafo segundo del artículo 357 de la Constitución, la inflación </w:t>
      </w:r>
      <w:r w:rsidRPr="00A524F8">
        <w:rPr>
          <w:rFonts w:ascii="Arial" w:eastAsia="Times New Roman" w:hAnsi="Arial" w:cs="Arial"/>
          <w:kern w:val="0"/>
          <w:szCs w:val="24"/>
          <w:lang w:eastAsia="es-ES"/>
        </w:rPr>
        <w:lastRenderedPageBreak/>
        <w:t>causada certificada por el DANE sea superior a la inflación con la cual se programó el presupuesto general de la Nación, el Gobierno Nacional a través del Ministerio de Hacienda y Crédito Público presentará al Congreso de la República la correspondiente ley para asignar los recursos adicionales, en la vigencia fiscal subsiguiente. Por el contrario, si la inflación con la cual se programó el presupuesto general de la Nación es inferior a la causada, se dispondrá la reducción respectiva.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87.</w:t>
      </w:r>
      <w:r w:rsidRPr="00A524F8">
        <w:rPr>
          <w:rFonts w:ascii="Arial" w:eastAsia="Times New Roman" w:hAnsi="Arial" w:cs="Arial"/>
          <w:kern w:val="0"/>
          <w:szCs w:val="24"/>
          <w:lang w:eastAsia="es-ES"/>
        </w:rPr>
        <w:t xml:space="preserve"> Participación de los nuevos municipios en el Sistema General de Participaciones. Los municipios creados durante la vigencia fiscal en curso tendrán derecho a participar en el Sistema General de Participaciones de acuerdo con las siguientes reglas: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Si el municipio ha sido segregado del territorio de otro, el valor de la participación del municipio del cual se segregó que se encuentre pendiente de giro para el mes subsiguiente a la fecha en la cual se haya recibido en el Departamento Nacional de Planeación la comunicación del Gobernador del Departamento respectivo sobre su creación, se distribuirá entre los dos municipios en proporción a la población de cada uno de ellos.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Si el municipio ha sido segregado del territorio de dos o más municipios, se procederá en la misma forma señalada en el numeral precedente, pero el valor que se distribuirá será la suma de los valores pendientes de giro del mes subsiguiente de los municipios de los cuales se haya segregado el nuevo municipio.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Se entiende que no hay lugar a participación por concepto del mes correspondiente, cuando la comunicación del Gobernador del Departamento sea recibida una vez iniciado dicho mes.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Cuando una de las divisiones departamentales a que hace referencia el artículo 21 del Decreto 2274 de 1991 sea erigida como municipio, participará en el Sistema General de participaciones en la vigencia fiscal siguiente a la cual se erigió, siempre y cuando dicha situación se comunique al Departamento Nacional de Planeación con anterioridad a la aprobación del Documento Conpes que establece la distribución del Sistema General de Participaciones, para la respectiva vigencia.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Durante el año en el cual se crea el nuevo municipio, el departamento donde se encuentra ubicado apropiará los recursos necesarios para cubrir los gastos mínimos de funcionamiento e inversión, hasta tanto este nuevo municipio reciba los recursos provenientes de su participación en 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Para efectos de este artículo se entiende recibida la comunicación del Gobernador del Departamento, en la fecha de radicación en Departamento Nacional de Planeación.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xml:space="preserve">. En la vigencia siguiente a la cual haya sido reportado al Departamento Nacional de Planeación la creación del nuevo municipio, este </w:t>
      </w:r>
      <w:r w:rsidRPr="00A524F8">
        <w:rPr>
          <w:rFonts w:ascii="Arial" w:eastAsia="Times New Roman" w:hAnsi="Arial" w:cs="Arial"/>
          <w:kern w:val="0"/>
          <w:szCs w:val="24"/>
          <w:lang w:eastAsia="es-ES"/>
        </w:rPr>
        <w:lastRenderedPageBreak/>
        <w:t>deberá ser incluido en la distribución general y se le aplicarán los criterios de asignación establecidos en 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3°</w:t>
      </w:r>
      <w:r w:rsidRPr="00A524F8">
        <w:rPr>
          <w:rFonts w:ascii="Arial" w:eastAsia="Times New Roman" w:hAnsi="Arial" w:cs="Arial"/>
          <w:kern w:val="0"/>
          <w:szCs w:val="24"/>
          <w:lang w:eastAsia="es-ES"/>
        </w:rPr>
        <w:t>. En la ordenanza de creación del nuevo municipio se deben establecer expresamente las medidas necesarias para garantizar la continuidad de la prestación de los servicios básicos en el nuevo municipio. Para ello se deben definir las responsabilidades de cada entidad territorial teniendo en cuenta la creación del nuevo municipio.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88.</w:t>
      </w:r>
      <w:r w:rsidRPr="00A524F8">
        <w:rPr>
          <w:rFonts w:ascii="Arial" w:eastAsia="Times New Roman" w:hAnsi="Arial" w:cs="Arial"/>
          <w:kern w:val="0"/>
          <w:szCs w:val="24"/>
          <w:lang w:eastAsia="es-ES"/>
        </w:rPr>
        <w:t xml:space="preserve"> Prestación de servicios, actividades administrativas y cumplimiento de competencias en forma conjunta o asociada. Las entidades territoriales podrán suscribir convenios de asociación con objeto de adelantar acciones de propósito común, para la prestación de servicios, para la realización de proyectos de inversión, en cumplimiento de las funciones asignadas o para la realización de actividades administrativas. La ejecución de dichos convenios para la prestación conjunta de los servicios correspondientes deberá garantizar la disminución de los gastos de funcionamiento de las entidades territoriales asociadas y la racionalización de los procesos administrativos.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 prestación de los servicios en forma asociada tendrá un término mínimo de cinco años durante los cuales la gestión, administración y prestación de los servicios, estará a cargo de una unidad administrativa sin personería jurídica con jurisdicción interterritorial.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37" w:anchor="1" w:history="1">
        <w:r w:rsidRPr="00A524F8">
          <w:rPr>
            <w:rFonts w:ascii="Arial" w:eastAsia="Times New Roman" w:hAnsi="Arial" w:cs="Arial"/>
            <w:color w:val="0000FF"/>
            <w:kern w:val="0"/>
            <w:szCs w:val="24"/>
            <w:u w:val="single"/>
            <w:lang w:eastAsia="es-ES"/>
          </w:rPr>
          <w:t>Declarado Exequible Sentencia Corte Constitucional 617 de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8" w:name="89-5"/>
      <w:r w:rsidRPr="00A524F8">
        <w:rPr>
          <w:rFonts w:ascii="Arial" w:eastAsia="Times New Roman" w:hAnsi="Arial" w:cs="Arial"/>
          <w:b/>
          <w:bCs/>
          <w:kern w:val="0"/>
          <w:szCs w:val="24"/>
          <w:lang w:eastAsia="es-ES"/>
        </w:rPr>
        <w:t> </w:t>
      </w:r>
      <w:bookmarkEnd w:id="48"/>
      <w:r w:rsidRPr="00A524F8">
        <w:rPr>
          <w:rFonts w:ascii="Arial" w:eastAsia="Times New Roman" w:hAnsi="Arial" w:cs="Arial"/>
          <w:b/>
          <w:bCs/>
          <w:kern w:val="0"/>
          <w:szCs w:val="24"/>
          <w:lang w:eastAsia="es-ES"/>
        </w:rPr>
        <w:t>89.</w:t>
      </w:r>
      <w:r w:rsidRPr="00A524F8">
        <w:rPr>
          <w:rFonts w:ascii="Arial" w:eastAsia="Times New Roman" w:hAnsi="Arial" w:cs="Arial"/>
          <w:kern w:val="0"/>
          <w:szCs w:val="24"/>
          <w:lang w:eastAsia="es-ES"/>
        </w:rPr>
        <w:t xml:space="preserve"> Seguimiento y control fiscal de los recursos del Sistema General de Participaciones. Para efectos de garantizar la eficiente gestión de las entidades territoriales en la administración de los recursos del Sistema General de Participaciones, sin perjuicio de las actividades de control fiscal en los términos señalados en otras normas y demás controles establecidos por las disposiciones legales, los departamentos, distritos y municipios, al elaborar el Plan Operativo Anual de Inversiones y el Presupuesto, programarán los recursos recibidos del Sistema General de Participaciones, cumpliendo con la destinación específica establecida para ellos y articulándolos con las estrategias, objetivos y metas de su plan de desarrollo. En dichos documentos, incluirán indicadores de resultados que permitan medir el impacto de las inversiones realizadas con estos.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prepararán un informe anual sobre la ejecución de los recursos del Sistema General de Participaciones, así como el Plan de Operativo Anual, del Presupuesto y sus modificaciones. Esta información será enviada, a la Secretaría Departamental de Planeación o quien haga sus veces, para que dicha entidad realice el seguimiento y la evaluación respectivo.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Las Secretarías de Planeación Departamental o quienes hagan sus veces, cuando detecten una presunta irregularidad en el manejo de los recursos administrados por los municipios, deberán informar a los organismos de control, para que dichas entidades realicen las investigaciones </w:t>
      </w:r>
      <w:r w:rsidRPr="00A524F8">
        <w:rPr>
          <w:rFonts w:ascii="Arial" w:eastAsia="Times New Roman" w:hAnsi="Arial" w:cs="Arial"/>
          <w:kern w:val="0"/>
          <w:szCs w:val="24"/>
          <w:lang w:eastAsia="es-ES"/>
        </w:rPr>
        <w:lastRenderedPageBreak/>
        <w:t>correspondientes. Si dichas irregularidades no son denunciadas, los funcionarios departamentales competentes serán solidariamente responsables con las autoridades municipales.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Una vez informados los organismos de control, estos deberán iniciar la indagación preliminar en un plazo máximo de 15 días. La omisión de lo dispuesto en este numeral será causal de mala conducta.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u w:val="single"/>
          <w:lang w:eastAsia="es-ES"/>
        </w:rPr>
        <w:t>Cuando por razón de una de estas denuncias se origine una sentencia judicial de carácter penal, por el tipo penal que sancione la pérdida, desviación de los recursos, uso indebido de estos o hechos similares, y la Contraloría General de la República, la contraloría departamental o municipal exoneró de responsabilidad fiscal a los administradores de los recursos, los funcionarios que adelantaron la investigación u ordenaron su archivo serán fiscalmente responsables de forma solidaria por el detrimento o desviación que dio origen a la sentencia, sin perjuicio de las sanciones penales o disciplinarias a que haya lugar. En este caso, la caducidad de las acciones se empezará a contar desde la ejecutoria de la sentencia. </w:t>
      </w:r>
      <w:r w:rsidRPr="00A524F8">
        <w:rPr>
          <w:rFonts w:ascii="Arial" w:eastAsia="Times New Roman" w:hAnsi="Arial" w:cs="Arial"/>
          <w:b/>
          <w:bCs/>
          <w:kern w:val="0"/>
          <w:szCs w:val="24"/>
          <w:lang w:eastAsia="es-ES"/>
        </w:rPr>
        <w:t xml:space="preserve">Texto Subrayado declarado INEXEQUIBLE por la Corte Constitucional mediante </w:t>
      </w:r>
      <w:hyperlink r:id="rId138" w:anchor="0" w:history="1">
        <w:r w:rsidRPr="00A524F8">
          <w:rPr>
            <w:rFonts w:ascii="Arial" w:eastAsia="Times New Roman" w:hAnsi="Arial" w:cs="Arial"/>
            <w:color w:val="0000FF"/>
            <w:kern w:val="0"/>
            <w:szCs w:val="24"/>
            <w:u w:val="single"/>
            <w:lang w:eastAsia="es-ES"/>
          </w:rPr>
          <w:t>Sentencia C-832 de 2002</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Cuando se inicie un proceso penal por alguno de los hechos señalados en el inciso anterior, la contraloría competente podrá suspender el proceso de responsabilidad fiscal hasta que se decida el proceso penal. La suspensión del proceso por esa circunstancia suspenderá el término de caducidad del proceso de responsabilidad fiscal.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El control, seguimiento y verificación del uso legal de los recursos del Sistema General de Participaciones es responsabilidad de la Contraloría General de la Nación. Para tal fin establecerá con las contralorías territoriales un sistema de vigilancia especial de estos recursos. </w:t>
      </w:r>
      <w:hyperlink r:id="rId139" w:anchor="1" w:history="1">
        <w:r w:rsidRPr="00A524F8">
          <w:rPr>
            <w:rFonts w:ascii="Arial" w:eastAsia="Times New Roman" w:hAnsi="Arial" w:cs="Arial"/>
            <w:color w:val="0000FF"/>
            <w:kern w:val="0"/>
            <w:szCs w:val="24"/>
            <w:u w:val="single"/>
            <w:lang w:eastAsia="es-ES"/>
          </w:rPr>
          <w:t>Corregido por el art. 1 Decreto Nacional 2978 de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1°</w:t>
      </w:r>
      <w:r w:rsidRPr="00A524F8">
        <w:rPr>
          <w:rFonts w:ascii="Arial" w:eastAsia="Times New Roman" w:hAnsi="Arial" w:cs="Arial"/>
          <w:kern w:val="0"/>
          <w:szCs w:val="24"/>
          <w:lang w:eastAsia="es-ES"/>
        </w:rPr>
        <w:t>. La responsabilidad de la Nación por el manejo y uso de los recursos del Sistema General de Participaciones solo irá hasta el giro de los recursos.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 2°</w:t>
      </w:r>
      <w:r w:rsidRPr="00A524F8">
        <w:rPr>
          <w:rFonts w:ascii="Arial" w:eastAsia="Times New Roman" w:hAnsi="Arial" w:cs="Arial"/>
          <w:kern w:val="0"/>
          <w:szCs w:val="24"/>
          <w:lang w:eastAsia="es-ES"/>
        </w:rPr>
        <w:t>. Las funciones disciplinarias relacionadas con los servidores públicos cuya actividad se financia con recursos del Sistema General de Participaciones, las ejercerá la Procuraduría General de la Nación o las personerías en los términos establecidos por el régimen disciplinario.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 xml:space="preserve">Artículo 90. </w:t>
      </w:r>
      <w:hyperlink r:id="rId140" w:anchor="1" w:history="1">
        <w:r w:rsidRPr="00A524F8">
          <w:rPr>
            <w:rFonts w:ascii="Arial" w:eastAsia="Times New Roman" w:hAnsi="Arial" w:cs="Arial"/>
            <w:color w:val="0000FF"/>
            <w:kern w:val="0"/>
            <w:szCs w:val="24"/>
            <w:u w:val="single"/>
            <w:lang w:eastAsia="es-ES"/>
          </w:rPr>
          <w:t>Reglamentado por el Decreto 1745 de 2002</w:t>
        </w:r>
      </w:hyperlink>
      <w:r w:rsidRPr="00A524F8">
        <w:rPr>
          <w:rFonts w:ascii="Arial" w:eastAsia="Times New Roman" w:hAnsi="Arial" w:cs="Arial"/>
          <w:kern w:val="0"/>
          <w:szCs w:val="24"/>
          <w:lang w:eastAsia="es-ES"/>
        </w:rPr>
        <w:t xml:space="preserve"> Evaluación de gestión de los recursos del Sistema General de Participaciones. Las Secretarías de Planeación Departamental o quien haga sus veces, deberán elaborar un informe semestral de evaluación de la gestión y la eficiencia, con indicadores de resultado y de impacto de la actividad local, cuya copia se remitirá al Departamento Nacional de Planeación y deberá ser informado a la comunidad por medios masivos de comunicación.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El contenido de los informes deberá determinarlo cada departamento, garantizando como mínimo una evaluación de la gestión financiera, administrativa y social, en consideración al cumplimiento de las disposiciones legales y a la obtención de resultados, conforme a los lineamientos que expida el Departamento Nacional de Planeación.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49" w:name="91"/>
      <w:r w:rsidRPr="00A524F8">
        <w:rPr>
          <w:rFonts w:ascii="Arial" w:eastAsia="Times New Roman" w:hAnsi="Arial" w:cs="Arial"/>
          <w:b/>
          <w:bCs/>
          <w:kern w:val="0"/>
          <w:szCs w:val="24"/>
          <w:lang w:eastAsia="es-ES"/>
        </w:rPr>
        <w:t> </w:t>
      </w:r>
      <w:bookmarkEnd w:id="49"/>
      <w:r w:rsidRPr="00A524F8">
        <w:rPr>
          <w:rFonts w:ascii="Arial" w:eastAsia="Times New Roman" w:hAnsi="Arial" w:cs="Arial"/>
          <w:b/>
          <w:bCs/>
          <w:kern w:val="0"/>
          <w:szCs w:val="24"/>
          <w:lang w:eastAsia="es-ES"/>
        </w:rPr>
        <w:t>91.</w:t>
      </w:r>
      <w:r w:rsidRPr="00A524F8">
        <w:rPr>
          <w:rFonts w:ascii="Arial" w:eastAsia="Times New Roman" w:hAnsi="Arial" w:cs="Arial"/>
          <w:kern w:val="0"/>
          <w:szCs w:val="24"/>
          <w:lang w:eastAsia="es-ES"/>
        </w:rPr>
        <w:t xml:space="preserve"> Prohibición de la Unidad de caja.  </w:t>
      </w:r>
      <w:hyperlink r:id="rId141" w:anchor="0" w:history="1">
        <w:r w:rsidRPr="00A524F8">
          <w:rPr>
            <w:rFonts w:ascii="Arial" w:eastAsia="Times New Roman" w:hAnsi="Arial" w:cs="Arial"/>
            <w:color w:val="0000FF"/>
            <w:kern w:val="0"/>
            <w:szCs w:val="24"/>
            <w:u w:val="single"/>
            <w:lang w:eastAsia="es-ES"/>
          </w:rPr>
          <w:t>Reglamentado por el Decreto Nacional 1101 de 2007</w:t>
        </w:r>
      </w:hyperlink>
      <w:r w:rsidRPr="00A524F8">
        <w:rPr>
          <w:rFonts w:ascii="Arial" w:eastAsia="Times New Roman" w:hAnsi="Arial" w:cs="Arial"/>
          <w:kern w:val="0"/>
          <w:szCs w:val="24"/>
          <w:lang w:eastAsia="es-ES"/>
        </w:rPr>
        <w:t>. Los recursos del Sistema General de Participaciones no harán Unidad de caja con los demás recursos del presupuesto y su administración deberá realizarse en cuentas separadas de los recursos de la entidad y por sectores. Igualmente, por su destinación social constitucional, estos recursos no pueden ser sujetos de embargo, titularización u otra clase de disposición financiera.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rendimientos financieros de los recursos del sistema general de participaciones que se generen una vez entregados a la entidad territorial, se invertirán en el mismo sector para el cual fueron transferidos. En el caso de la participación para educación se invertirán en mejoramiento de la calidad.</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92.</w:t>
      </w:r>
      <w:r w:rsidRPr="00A524F8">
        <w:rPr>
          <w:rFonts w:ascii="Arial" w:eastAsia="Times New Roman" w:hAnsi="Arial" w:cs="Arial"/>
          <w:kern w:val="0"/>
          <w:szCs w:val="24"/>
          <w:lang w:eastAsia="es-ES"/>
        </w:rPr>
        <w:t xml:space="preserve"> Servicio de la deuda. Salvo las excepciones establecidas en la presente ley, con los recursos del Sistema General de Participaciones podrá cubrirse el servicio de la deuda con entidades financieras, adquiridas antes de la promulgación de la presente Ley, originado en el financiamiento de proyectos de inversión en infraestructura, en desarrollo de las competencias de la entidad territorial. Cuando el servicio que dio lugar deba ser administrado por otra entidad territorial, deberá suscribirse un acuerdo entre las entidades territoriales involucradas para garantizar el servicio de la deuda con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Solo podrán pagarse las obligaciones de un sector con los recursos del mismo sector.</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93.</w:t>
      </w:r>
      <w:r w:rsidRPr="00A524F8">
        <w:rPr>
          <w:rFonts w:ascii="Arial" w:eastAsia="Times New Roman" w:hAnsi="Arial" w:cs="Arial"/>
          <w:kern w:val="0"/>
          <w:szCs w:val="24"/>
          <w:lang w:eastAsia="es-ES"/>
        </w:rPr>
        <w:t xml:space="preserve"> Sistema de información. El Departamento Nacional de Planeación coordinará la conformación de un sistema integral de información territorial, con el apoyo del Departamento Administrativo Nacional de Estadística, los Ministerios de Salud, Educación, del Interior, de Hacienda y Crédito Público, de Desarrollo, las entidades territoriales y aquellas otras entidades o instituciones que considere conveniente. Para ello, cada entidad conformará su propio sistema con miras a la integración de dichos subsistemas en un plazo no mayor a tres años.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entidades territoriales están obligadas a enviar la información solicitada por las entidades del nivel nacional, en los términos solicitados.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50" w:name="94"/>
      <w:r w:rsidRPr="00A524F8">
        <w:rPr>
          <w:rFonts w:ascii="Arial" w:eastAsia="Times New Roman" w:hAnsi="Arial" w:cs="Arial"/>
          <w:b/>
          <w:bCs/>
          <w:kern w:val="0"/>
          <w:szCs w:val="24"/>
          <w:lang w:eastAsia="es-ES"/>
        </w:rPr>
        <w:t> </w:t>
      </w:r>
      <w:bookmarkEnd w:id="50"/>
      <w:r w:rsidRPr="00A524F8">
        <w:rPr>
          <w:rFonts w:ascii="Arial" w:eastAsia="Times New Roman" w:hAnsi="Arial" w:cs="Arial"/>
          <w:b/>
          <w:bCs/>
          <w:kern w:val="0"/>
          <w:szCs w:val="24"/>
          <w:lang w:eastAsia="es-ES"/>
        </w:rPr>
        <w:t>94.</w:t>
      </w:r>
      <w:r w:rsidRPr="00A524F8">
        <w:rPr>
          <w:rFonts w:ascii="Arial" w:eastAsia="Times New Roman" w:hAnsi="Arial" w:cs="Arial"/>
          <w:kern w:val="0"/>
          <w:szCs w:val="24"/>
          <w:lang w:eastAsia="es-ES"/>
        </w:rPr>
        <w:t xml:space="preserve"> Definición de focalización de los servicios sociales.  </w:t>
      </w:r>
      <w:hyperlink r:id="rId142" w:anchor="24" w:history="1">
        <w:r w:rsidRPr="00A524F8">
          <w:rPr>
            <w:rFonts w:ascii="Arial" w:eastAsia="Times New Roman" w:hAnsi="Arial" w:cs="Arial"/>
            <w:color w:val="0000FF"/>
            <w:kern w:val="0"/>
            <w:szCs w:val="24"/>
            <w:u w:val="single"/>
            <w:lang w:eastAsia="es-ES"/>
          </w:rPr>
          <w:t>Modificado por el art. 24, Ley 1176 de 2007</w:t>
        </w:r>
      </w:hyperlink>
      <w:r w:rsidRPr="00A524F8">
        <w:rPr>
          <w:rFonts w:ascii="Arial" w:eastAsia="Times New Roman" w:hAnsi="Arial" w:cs="Arial"/>
          <w:kern w:val="0"/>
          <w:szCs w:val="24"/>
          <w:lang w:eastAsia="es-ES"/>
        </w:rPr>
        <w:t>. Focalización es el proceso mediante el cual se garantiza que el gasto social se asigne a los grupos de población más pobre y vulnerable.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El Conpes Social definirá cada tres años los criterios para la determinación, identificación y selección de beneficiarios, así como los criterios para la aplicación del gasto social por parte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En todo caso, las entidades territoriales al realizar inversión social, especialmente mediante la asignación de subsidios, deberán aplicar los criterios de focalización, definidos por el Conpes Social.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95.</w:t>
      </w:r>
      <w:r w:rsidRPr="00A524F8">
        <w:rPr>
          <w:rFonts w:ascii="Arial" w:eastAsia="Times New Roman" w:hAnsi="Arial" w:cs="Arial"/>
          <w:kern w:val="0"/>
          <w:szCs w:val="24"/>
          <w:lang w:eastAsia="es-ES"/>
        </w:rPr>
        <w:t xml:space="preserve"> Pagos con recursos del Fondo de Estabilización Petrolera. Los departamentos, distritos y municipios que registraron excedentes en el cupo asignado con los recursos de que trata el inciso segundo del artículo 133 de la Ley 633 de 2000, una vez aplicadas las prelaciones definidas en la ley y en los reglamentos, podrán utilizar dichos recursos para el pago de indemnizaciones, pasivo laboral, pasivo prestacional y deudas de servicios públicos de instituciones de educación, salud, energía y generados en otros proyectos de inversión.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Los municipios que no utilizaron la capacidad del cupo para el pago de la deuda señalado en el inciso anterior, podrán acceder a los recursos que le corresponden para financiar proyectos de inversión establecidos en los planes de desarrollo.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Cuando el Gobierno Nacional considere pertinente podrá girar los recursos del Fondo de Estabilización Petrolera anticipadamente.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96.</w:t>
      </w:r>
      <w:r w:rsidRPr="00A524F8">
        <w:rPr>
          <w:rFonts w:ascii="Arial" w:eastAsia="Times New Roman" w:hAnsi="Arial" w:cs="Arial"/>
          <w:kern w:val="0"/>
          <w:szCs w:val="24"/>
          <w:lang w:eastAsia="es-ES"/>
        </w:rPr>
        <w:t xml:space="preserve"> Sanciones. Incurren en falta disciplinaria gravísima los servidores públicos que desvíen, retarden u obstaculicen el uso de los recursos del Sistema General de Participaciones para los fines establecidos en la presente ley o el pago de los servicios financiados con éstos. Dichos servidores serán objeto de las sanciones disciplinarias correspondientes, sin perjuicio de las demás sanciones previstas por la Ley penal.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Igualmente, sin perjuicio de las acciones penales, será causal de mala conducta que la información remitida por las entidades territoriales para la distribución de los recursos del Sistema General de Participaciones sea sobrestimada o enviada en forma incorrecta, induciendo a error en la asignación de los recursos. Por ello, los documentos remitidos por cada entidad territorial deberán ser firmados por el representante legal garantizando que la información es correcta, de esta forma dicha información constituye un documento público con las implicaciones legales que de allí se derivan.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97.</w:t>
      </w:r>
      <w:r w:rsidRPr="00A524F8">
        <w:rPr>
          <w:rFonts w:ascii="Arial" w:eastAsia="Times New Roman" w:hAnsi="Arial" w:cs="Arial"/>
          <w:kern w:val="0"/>
          <w:szCs w:val="24"/>
          <w:lang w:eastAsia="es-ES"/>
        </w:rPr>
        <w:t xml:space="preserve"> Gravámenes a los recursos del Sistema General de Participaciones. En ningún caso podrán establecer tasas, contribuciones o porcentajes de asignación a favor de las contralorías territoriales, para cubrir los costos del control fiscal, sobre el monto de los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Los recursos transferidos a las entidades territoriales por concepto del Sistema General de Participaciones y los gastos que realicen las entidades territoriales </w:t>
      </w:r>
      <w:r w:rsidRPr="00A524F8">
        <w:rPr>
          <w:rFonts w:ascii="Arial" w:eastAsia="Times New Roman" w:hAnsi="Arial" w:cs="Arial"/>
          <w:kern w:val="0"/>
          <w:szCs w:val="24"/>
          <w:lang w:eastAsia="es-ES"/>
        </w:rPr>
        <w:lastRenderedPageBreak/>
        <w:t>con ellos, están exentos para dichas entidades del Gravamen a las transacciones financieras.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Las contralorías de las antiguas comisarías no podrán financiarse con recursos de transferencias. Su funcionamiento sólo podrá ser financiado con ingresos corrientes de libre destinación del Departamento dentro de los límites de la Ley 617 de 2000 menos un punto porcentual.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98.</w:t>
      </w:r>
      <w:r w:rsidRPr="00A524F8">
        <w:rPr>
          <w:rFonts w:ascii="Arial" w:eastAsia="Times New Roman" w:hAnsi="Arial" w:cs="Arial"/>
          <w:kern w:val="0"/>
          <w:szCs w:val="24"/>
          <w:lang w:eastAsia="es-ES"/>
        </w:rPr>
        <w:t xml:space="preserve"> Corregimientos departamentales. La población de los corregimientos departamentales existentes a la expedición de la presente ley en los nuevos departamentos creados por la Constitución de 1991, que no estén dentro de la jurisdicción de un municipio o distrito, se tendrá en cuenta en los cálculos correspondientes para la distribución de los recursos del Sistema General de Participaciones. Los recursos para estos corregimientos serán administrados por los departamentos, quienes serán los responsables por la prestación de los servicios.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99.</w:t>
      </w:r>
      <w:r w:rsidRPr="00A524F8">
        <w:rPr>
          <w:rFonts w:ascii="Arial" w:eastAsia="Times New Roman" w:hAnsi="Arial" w:cs="Arial"/>
          <w:kern w:val="0"/>
          <w:szCs w:val="24"/>
          <w:lang w:eastAsia="es-ES"/>
        </w:rPr>
        <w:t xml:space="preserve"> Límite a las decisiones nacionales. La Nación no podrá adoptar decisiones o medidas que afecten los costos de la prestación de los servicios de educación y salud, por encima de la disponibilidad de recursos del Sistema General de Participaciones.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100</w:t>
      </w:r>
      <w:r w:rsidRPr="00A524F8">
        <w:rPr>
          <w:rFonts w:ascii="Arial" w:eastAsia="Times New Roman" w:hAnsi="Arial" w:cs="Arial"/>
          <w:kern w:val="0"/>
          <w:szCs w:val="24"/>
          <w:lang w:eastAsia="es-ES"/>
        </w:rPr>
        <w:t>. Liquidación pendiente de las transferencias territoriales. Las liquidaciones por concepto del situado fiscal y las participaciones de los municipios en los ingresos corrientes de la Nación, de que trataba la Ley 60 de 1993, que la Nación tenga pendientes al momento de la entrada en vigencia de la presente ley, las atenderá de acuerdo con las disponibilidades de recursos en los presupuestos del año subsiguiente.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101</w:t>
      </w:r>
      <w:r w:rsidRPr="00A524F8">
        <w:rPr>
          <w:rFonts w:ascii="Arial" w:eastAsia="Times New Roman" w:hAnsi="Arial" w:cs="Arial"/>
          <w:kern w:val="0"/>
          <w:szCs w:val="24"/>
          <w:lang w:eastAsia="es-ES"/>
        </w:rPr>
        <w:t>. Prohibición de plantas para la prestación del servicio por parte de la Nación. Salvo las excepciones establecidas en la presente ley, la Nación no podrá administrar plantas de personal o tener instituciones para prestar los servicios asignados en la presente ley a los departamentos, distritos y municipios. Las existentes deberán transferirse a la entidad donde se presta el servicio.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102</w:t>
      </w:r>
      <w:r w:rsidRPr="00A524F8">
        <w:rPr>
          <w:rFonts w:ascii="Arial" w:eastAsia="Times New Roman" w:hAnsi="Arial" w:cs="Arial"/>
          <w:kern w:val="0"/>
          <w:szCs w:val="24"/>
          <w:lang w:eastAsia="es-ES"/>
        </w:rPr>
        <w:t>. Restricciones a la presupuestación. En el Presupuesto General de la Nación no podrán incluirse apropiaciones para los mismos fines de que trata esta ley, para ser transferidas a las entidades territoriales, diferentes de las participaciones reglamentadas en ella, sin perjuicio de las apropiaciones presupuestales para la ejecución de funciones a cargo de la Nación con participación de las entidades territoriales, del principio concurrencia y de las partidas de cofinanciación para programas en desarrollo de funciones de competencia exclusiva de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103</w:t>
      </w:r>
      <w:r w:rsidRPr="00A524F8">
        <w:rPr>
          <w:rFonts w:ascii="Arial" w:eastAsia="Times New Roman" w:hAnsi="Arial" w:cs="Arial"/>
          <w:kern w:val="0"/>
          <w:szCs w:val="24"/>
          <w:lang w:eastAsia="es-ES"/>
        </w:rPr>
        <w:t>. Censo válido. Para efectos de esta Ley, se tendrá en cuenta la información certificada por el Departamento Administrativo Nacional de Estadística, DANE, con base en el último censo realizado.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lastRenderedPageBreak/>
        <w:t>Artículo 104</w:t>
      </w:r>
      <w:r w:rsidRPr="00A524F8">
        <w:rPr>
          <w:rFonts w:ascii="Arial" w:eastAsia="Times New Roman" w:hAnsi="Arial" w:cs="Arial"/>
          <w:kern w:val="0"/>
          <w:szCs w:val="24"/>
          <w:lang w:eastAsia="es-ES"/>
        </w:rPr>
        <w:t>. Garantías de créditos anteriores. Los departamentos, distritos y municipios que a la fecha de expedición de la presente ley hayan suscrito Acuerdos de Reestructuración de Pasivos y/o Programas de Saneamiento Fiscal y Financiero en el marco de las Leyes 550 y 617, deberán garantizar la aplicación de los recursos del Sistema General de Participaciones comprometidos para el pago del servicio de la deuda y el saneamiento de pasivos, mientras dichos Acuerdos y/o Programas se encuentren vigentes.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Parágrafo. Para efectos del cálculo de los indicadores para la distribución de los recursos del Sistema General de Participaciones, relacionados con coberturas y eficiencia, se entenderá que estas entidades territoriales cumplen, como mínimo, con el promedio nacional del respectivo indicador, siempre y cuando haya concepto favorable del Ministerio de Hacienda y Crédito Público sobre el cumplimiento del respectivo Acuerdo de Reestructuración de Pasivos y/o Programa de Saneamiento Fiscal y Financiero.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105</w:t>
      </w:r>
      <w:r w:rsidRPr="00A524F8">
        <w:rPr>
          <w:rFonts w:ascii="Arial" w:eastAsia="Times New Roman" w:hAnsi="Arial" w:cs="Arial"/>
          <w:kern w:val="0"/>
          <w:szCs w:val="24"/>
          <w:lang w:eastAsia="es-ES"/>
        </w:rPr>
        <w:t>. Orientación Ambiental. Los municipios, departamentos, distritos y demás entes territoriales adelantarán las funciones y competencias ambientales bajo la asesoría y orientación de las Corporaciones Autónomas Regionales y en cumplimiento de los principios de armonía regional, gradación normativa y rigor subsidiario establecido en la Ley 99 de 1993.</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bookmarkStart w:id="51" w:name="106"/>
      <w:bookmarkEnd w:id="51"/>
      <w:r w:rsidRPr="00A524F8">
        <w:rPr>
          <w:rFonts w:ascii="Arial" w:eastAsia="Times New Roman" w:hAnsi="Arial" w:cs="Arial"/>
          <w:b/>
          <w:bCs/>
          <w:kern w:val="0"/>
          <w:szCs w:val="24"/>
          <w:lang w:eastAsia="es-ES"/>
        </w:rPr>
        <w:t>Artículo 106</w:t>
      </w:r>
      <w:r w:rsidRPr="00A524F8">
        <w:rPr>
          <w:rFonts w:ascii="Arial" w:eastAsia="Times New Roman" w:hAnsi="Arial" w:cs="Arial"/>
          <w:kern w:val="0"/>
          <w:szCs w:val="24"/>
          <w:lang w:eastAsia="es-ES"/>
        </w:rPr>
        <w:t xml:space="preserve">. </w:t>
      </w:r>
      <w:r w:rsidRPr="00A524F8">
        <w:rPr>
          <w:rFonts w:ascii="Arial" w:eastAsia="Times New Roman" w:hAnsi="Arial" w:cs="Arial"/>
          <w:b/>
          <w:bCs/>
          <w:kern w:val="0"/>
          <w:szCs w:val="24"/>
          <w:lang w:eastAsia="es-ES"/>
        </w:rPr>
        <w:t>INEXEQUIBLE</w:t>
      </w:r>
      <w:r w:rsidRPr="00A524F8">
        <w:rPr>
          <w:rFonts w:ascii="Arial" w:eastAsia="Times New Roman" w:hAnsi="Arial" w:cs="Arial"/>
          <w:kern w:val="0"/>
          <w:szCs w:val="24"/>
          <w:lang w:eastAsia="es-ES"/>
        </w:rPr>
        <w:t xml:space="preserve"> Recursos complementarios al Sistema General de Participaciones. Con el fin de garantizar los recursos necesarios para financiar los mecanismos de recaudo de los recursos para la Salud, el inciso 2° del artículo 9° de la Ley 643 de 2001, quedará así:</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"Sin perjuicio de los derechos de explotación, cuando el juego se opere a través de terceros, estos reconocerán a la entidad administradora del monopolio como gastos de administración un porcentaje del diez por ciento (10%) de los derechos de explotación de cada juego".</w:t>
      </w:r>
      <w:r w:rsidRPr="00A524F8">
        <w:rPr>
          <w:rFonts w:ascii="Arial" w:eastAsia="Times New Roman" w:hAnsi="Arial" w:cs="Arial"/>
          <w:b/>
          <w:bCs/>
          <w:kern w:val="0"/>
          <w:szCs w:val="24"/>
          <w:lang w:eastAsia="es-ES"/>
        </w:rPr>
        <w:t xml:space="preserve"> </w:t>
      </w:r>
      <w:hyperlink r:id="rId143" w:anchor="1" w:history="1">
        <w:r w:rsidRPr="00A524F8">
          <w:rPr>
            <w:rFonts w:ascii="Arial" w:eastAsia="Times New Roman" w:hAnsi="Arial" w:cs="Arial"/>
            <w:color w:val="0000FF"/>
            <w:kern w:val="0"/>
            <w:szCs w:val="24"/>
            <w:u w:val="single"/>
            <w:lang w:eastAsia="es-ES"/>
          </w:rPr>
          <w:t>Sentencia Corte Constitucional 05 de 2003</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107</w:t>
      </w:r>
      <w:r w:rsidRPr="00A524F8">
        <w:rPr>
          <w:rFonts w:ascii="Arial" w:eastAsia="Times New Roman" w:hAnsi="Arial" w:cs="Arial"/>
          <w:kern w:val="0"/>
          <w:szCs w:val="24"/>
          <w:lang w:eastAsia="es-ES"/>
        </w:rPr>
        <w:t>. Flujo de recursos. El Gobierno Nacional deberá adoptar en los seis meses siguientes a la vigencia de la presente ley, los mecanismos jurídicos y técnicos conducentes a la optimización del flujo financiero de los recursos del Sistema General de Seguridad Social en Salud que prevengan o impidan su desviación, indebida apropiación o retención por parte de cualquiera de los actores partícipes o intermediarios del sistema.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108</w:t>
      </w:r>
      <w:r w:rsidRPr="00A524F8">
        <w:rPr>
          <w:rFonts w:ascii="Arial" w:eastAsia="Times New Roman" w:hAnsi="Arial" w:cs="Arial"/>
          <w:kern w:val="0"/>
          <w:szCs w:val="24"/>
          <w:lang w:eastAsia="es-ES"/>
        </w:rPr>
        <w:t>. Concertación. Los aspectos que para el desarrollo de la presente ley, a juicio de la Nación, requieran la concertación entre la Nación y los departamentos se concertarán con el Consejo Nacional de Gobernadores, que para tal fin designará comités especializados. Cuando la concertación se deba hacer con los municipios se hará con los representantes de la Federación Colombiana de Municipios.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109</w:t>
      </w:r>
      <w:r w:rsidRPr="00A524F8">
        <w:rPr>
          <w:rFonts w:ascii="Arial" w:eastAsia="Times New Roman" w:hAnsi="Arial" w:cs="Arial"/>
          <w:kern w:val="0"/>
          <w:szCs w:val="24"/>
          <w:lang w:eastAsia="es-ES"/>
        </w:rPr>
        <w:t xml:space="preserve">. Traspaso del servicio en Bogotá. Con el fin de garantizar la continuidad en la prestación del servicio educativo en los colegios Liceo Femenino de Cundinamarca Mercedes Nariño, Silveria Espinosa de Rendón y </w:t>
      </w:r>
      <w:r w:rsidRPr="00A524F8">
        <w:rPr>
          <w:rFonts w:ascii="Arial" w:eastAsia="Times New Roman" w:hAnsi="Arial" w:cs="Arial"/>
          <w:kern w:val="0"/>
          <w:szCs w:val="24"/>
          <w:lang w:eastAsia="es-ES"/>
        </w:rPr>
        <w:lastRenderedPageBreak/>
        <w:t>el Colegio Departamental Integrado de Fontibón, la administración y las plantas de dichos colegios, serán transferidas del Departamento de Cundinamarca al Distrito Capital. El Distrito Capital financiará el servicio con los recursos que del Sistema General de Participaciones se le asigne por población atendida, y se autoriza al Gobierno Nacional para que reconozca al Departamento de Cundinamarca el valor correspondiente al avalúo de los mencionados inmuebles. Para el perfeccionamiento de lo anterior, y sin suspender la continuidad del servicio educativo, se suscribirá un convenio interadministrativo entre las entidades territoriales.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hyperlink r:id="rId144" w:anchor="1" w:history="1">
        <w:r w:rsidRPr="00A524F8">
          <w:rPr>
            <w:rFonts w:ascii="Arial" w:eastAsia="Times New Roman" w:hAnsi="Arial" w:cs="Arial"/>
            <w:color w:val="0000FF"/>
            <w:kern w:val="0"/>
            <w:szCs w:val="24"/>
            <w:u w:val="single"/>
            <w:lang w:eastAsia="es-ES"/>
          </w:rPr>
          <w:t xml:space="preserve">Ver el Decreto Distrital 140 de 2002, </w:t>
        </w:r>
      </w:hyperlink>
      <w:hyperlink r:id="rId145" w:anchor="1" w:history="1">
        <w:r w:rsidRPr="00A524F8">
          <w:rPr>
            <w:rFonts w:ascii="Arial" w:eastAsia="Times New Roman" w:hAnsi="Arial" w:cs="Arial"/>
            <w:color w:val="0000FF"/>
            <w:kern w:val="0"/>
            <w:szCs w:val="24"/>
            <w:u w:val="single"/>
            <w:lang w:eastAsia="es-ES"/>
          </w:rPr>
          <w:t xml:space="preserve">Ver el Decreto Distrital 141 de 2002 </w:t>
        </w:r>
      </w:hyperlink>
      <w:r w:rsidRPr="00A524F8">
        <w:rPr>
          <w:rFonts w:ascii="Arial" w:eastAsia="Times New Roman" w:hAnsi="Arial" w:cs="Arial"/>
          <w:kern w:val="0"/>
          <w:szCs w:val="24"/>
          <w:lang w:eastAsia="es-ES"/>
        </w:rPr>
        <w:t xml:space="preserve">. </w:t>
      </w:r>
      <w:hyperlink r:id="rId146" w:anchor="1" w:history="1">
        <w:r w:rsidRPr="00A524F8">
          <w:rPr>
            <w:rFonts w:ascii="Arial" w:eastAsia="Times New Roman" w:hAnsi="Arial" w:cs="Arial"/>
            <w:color w:val="0000FF"/>
            <w:kern w:val="0"/>
            <w:szCs w:val="24"/>
            <w:u w:val="single"/>
            <w:lang w:eastAsia="es-ES"/>
          </w:rPr>
          <w:t xml:space="preserve">Ver Concepto Secretaría General 22 de 2002 </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Parágrafo.</w:t>
      </w:r>
      <w:r w:rsidRPr="00A524F8">
        <w:rPr>
          <w:rFonts w:ascii="Arial" w:eastAsia="Times New Roman" w:hAnsi="Arial" w:cs="Arial"/>
          <w:kern w:val="0"/>
          <w:szCs w:val="24"/>
          <w:lang w:eastAsia="es-ES"/>
        </w:rPr>
        <w:t xml:space="preserve"> Para los efectos del presente artículo el Departamento de Cundinamarca conservará las plazas liberadas de personal docente y administrativo de los colegios relacionados a fin de distribuirlas según las necesidades del servicio, y que financiará con los recursos que reciba del sistema general de participaciones de conformidad con el artículo 16 de la presente ley.</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110</w:t>
      </w:r>
      <w:r w:rsidRPr="00A524F8">
        <w:rPr>
          <w:rFonts w:ascii="Arial" w:eastAsia="Times New Roman" w:hAnsi="Arial" w:cs="Arial"/>
          <w:kern w:val="0"/>
          <w:szCs w:val="24"/>
          <w:lang w:eastAsia="es-ES"/>
        </w:rPr>
        <w:t>. Giro anticipado de la Participación de los Ingresos Corrientes de la Nación. Autorízase al Gobierno Nacional para anticipar el giro de la participación de los municipios en los ingresos corrientes de la Nación, correspondiente al sexto bimestre de la vigencia fiscal de 2001.</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52" w:name="111"/>
      <w:r w:rsidRPr="00A524F8">
        <w:rPr>
          <w:rFonts w:ascii="Arial" w:eastAsia="Times New Roman" w:hAnsi="Arial" w:cs="Arial"/>
          <w:b/>
          <w:bCs/>
          <w:kern w:val="0"/>
          <w:szCs w:val="24"/>
          <w:lang w:eastAsia="es-ES"/>
        </w:rPr>
        <w:t> </w:t>
      </w:r>
      <w:bookmarkEnd w:id="52"/>
      <w:r w:rsidRPr="00A524F8">
        <w:rPr>
          <w:rFonts w:ascii="Arial" w:eastAsia="Times New Roman" w:hAnsi="Arial" w:cs="Arial"/>
          <w:b/>
          <w:bCs/>
          <w:kern w:val="0"/>
          <w:szCs w:val="24"/>
          <w:lang w:eastAsia="es-ES"/>
        </w:rPr>
        <w:t>111</w:t>
      </w:r>
      <w:r w:rsidRPr="00A524F8">
        <w:rPr>
          <w:rFonts w:ascii="Arial" w:eastAsia="Times New Roman" w:hAnsi="Arial" w:cs="Arial"/>
          <w:kern w:val="0"/>
          <w:szCs w:val="24"/>
          <w:lang w:eastAsia="es-ES"/>
        </w:rPr>
        <w:t>. Facultades extraordinarias. Concédase precisas facultades extraordinarias al Presidente de la República por el término de seis (6) meses, para: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u w:val="single"/>
          <w:lang w:eastAsia="es-ES"/>
        </w:rPr>
        <w:t>111.1. Organizar un sistema de inspección, vigilancia y control, adaptable a distintos tipos de instituciones y regiones, que permita atender situaciones especiales. Para tal fin, se podrán crear los organismos necesarios</w:t>
      </w:r>
      <w:r w:rsidRPr="00A524F8">
        <w:rPr>
          <w:rFonts w:ascii="Arial" w:eastAsia="Times New Roman" w:hAnsi="Arial" w:cs="Arial"/>
          <w:kern w:val="0"/>
          <w:szCs w:val="24"/>
          <w:lang w:eastAsia="es-ES"/>
        </w:rPr>
        <w:t>. </w:t>
      </w:r>
      <w:r w:rsidRPr="00A524F8">
        <w:rPr>
          <w:rFonts w:ascii="Arial" w:eastAsia="Times New Roman" w:hAnsi="Arial" w:cs="Arial"/>
          <w:b/>
          <w:bCs/>
          <w:kern w:val="0"/>
          <w:szCs w:val="24"/>
          <w:lang w:eastAsia="es-ES"/>
        </w:rPr>
        <w:t xml:space="preserve">Texto subrayado declarado INEXEQUIBLE por la Corte Constitucional, mediante </w:t>
      </w:r>
      <w:hyperlink r:id="rId147" w:anchor="0" w:history="1">
        <w:r w:rsidRPr="00A524F8">
          <w:rPr>
            <w:rFonts w:ascii="Arial" w:eastAsia="Times New Roman" w:hAnsi="Arial" w:cs="Arial"/>
            <w:color w:val="0000FF"/>
            <w:kern w:val="0"/>
            <w:szCs w:val="24"/>
            <w:u w:val="single"/>
            <w:lang w:eastAsia="es-ES"/>
          </w:rPr>
          <w:t>Sentencia C-097 de 2003</w:t>
        </w:r>
      </w:hyperlink>
      <w:r w:rsidRPr="00A524F8">
        <w:rPr>
          <w:rFonts w:ascii="Arial" w:eastAsia="Times New Roman" w:hAnsi="Arial" w:cs="Arial"/>
          <w:kern w:val="0"/>
          <w:szCs w:val="24"/>
          <w:lang w:eastAsia="es-ES"/>
        </w:rPr>
        <w:t xml:space="preserve"> </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111.2. Se conceden facultades extraordinarias al Presidente de la República, por el término de seis (6) meses contados a partir de la vigencia de la presente ley para expedir un nuevo régimen de carrera docente y administrativa para los docentes, directivos docentes, y administrativos, que ingresen a partir de la promulgación de la presente ley, que sea acorde con la nueva distribución de recursos y competencias y con los recursos.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El nuevo régimen de carrera docente y administrativa se denominará Estatuto de Profesionalización Docente y tomará en cuenta entre otros los siguientes criterios: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 Mejor salario de ingreso a la carrera docente.</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2. Requisitos de ingreso. </w:t>
      </w:r>
      <w:hyperlink r:id="rId148" w:anchor="1" w:history="1">
        <w:r w:rsidRPr="00A524F8">
          <w:rPr>
            <w:rFonts w:ascii="Arial" w:eastAsia="Times New Roman" w:hAnsi="Arial" w:cs="Arial"/>
            <w:color w:val="0000FF"/>
            <w:kern w:val="0"/>
            <w:szCs w:val="24"/>
            <w:u w:val="single"/>
            <w:lang w:eastAsia="es-ES"/>
          </w:rPr>
          <w:t>Declarado Exequible Sentencia Corte Constitucional 617 de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lastRenderedPageBreak/>
        <w:t>3. Escala salarial única nacional y grados de escalafón.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4. Incentivos a mejoramiento profesional, desempeño en el aula, ubicación en zonas rurales apartadas, áreas de especialización.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5. Mecanismos de evaluación, capacitación, permanencia, ascensos y exclusión de la carrera.</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6. Oportunidades de mejoramiento académico y profesional de los docentes.</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7. Asimilación voluntaria de los actuales docentes y directivos docentes contemplado en el Decreto-ley 2277 de 1979.</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Para la preparación del proyecto de Estatuto de Profesionalización Docente, el Ministerio de Educación Nacional conformará un grupo de trabajo integrado por dos representantes del Honorable Congreso de la República, dos representantes de la Federación Colombiana de Educadores, dos expertos designados por el señor Presidente de la República, y el Ministro de Educación Nacional, quien presidirá el grupo. Elegido un nuevo Presidente de la República, éste designará a una persona para que integre dicho grupo de trabajo.</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111.3. Crear consejos u otros organismos de coordinación y regulación intersectorial.</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xml:space="preserve">111.4. Otórgase precisas facultades extraordinarias al Gobierno Nacional para que en el término de seis meses contados desde la vigencia de la presente ley expida normas que regulen los flujos de caja y la utilización oportuna y eficiente de los recursos del sector salud y su utilización en la prestación de los servicios de salud a la población del país. </w:t>
      </w:r>
      <w:r w:rsidRPr="00A524F8">
        <w:rPr>
          <w:rFonts w:ascii="Arial" w:eastAsia="Times New Roman" w:hAnsi="Arial" w:cs="Arial"/>
          <w:b/>
          <w:bCs/>
          <w:kern w:val="0"/>
          <w:szCs w:val="24"/>
          <w:lang w:eastAsia="es-ES"/>
        </w:rPr>
        <w:t xml:space="preserve">Declarado Exequible por la Corte Constitucional mediante </w:t>
      </w:r>
      <w:hyperlink r:id="rId149" w:anchor="1" w:history="1">
        <w:r w:rsidRPr="00A524F8">
          <w:rPr>
            <w:rFonts w:ascii="Arial" w:eastAsia="Times New Roman" w:hAnsi="Arial" w:cs="Arial"/>
            <w:color w:val="0000FF"/>
            <w:kern w:val="0"/>
            <w:szCs w:val="24"/>
            <w:u w:val="single"/>
            <w:lang w:eastAsia="es-ES"/>
          </w:rPr>
          <w:t>Sentencia C-1028 de 2002</w:t>
        </w:r>
      </w:hyperlink>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112</w:t>
      </w:r>
      <w:r w:rsidRPr="00A524F8">
        <w:rPr>
          <w:rFonts w:ascii="Arial" w:eastAsia="Times New Roman" w:hAnsi="Arial" w:cs="Arial"/>
          <w:kern w:val="0"/>
          <w:szCs w:val="24"/>
          <w:lang w:eastAsia="es-ES"/>
        </w:rPr>
        <w:t>. Topes a la contratación. Los concejos distritales y municipales, cuando fijen topes en materia contractual a las administraciones distritales y municipales, deberán sujetarse a los topes establecidos en la Ley 80 de 1993.</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b/>
          <w:bCs/>
          <w:kern w:val="0"/>
          <w:szCs w:val="24"/>
          <w:lang w:eastAsia="es-ES"/>
        </w:rPr>
        <w:t>Artículo </w:t>
      </w:r>
      <w:bookmarkStart w:id="53" w:name="113"/>
      <w:r w:rsidRPr="00A524F8">
        <w:rPr>
          <w:rFonts w:ascii="Arial" w:eastAsia="Times New Roman" w:hAnsi="Arial" w:cs="Arial"/>
          <w:b/>
          <w:bCs/>
          <w:kern w:val="0"/>
          <w:szCs w:val="24"/>
          <w:lang w:eastAsia="es-ES"/>
        </w:rPr>
        <w:t> </w:t>
      </w:r>
      <w:bookmarkEnd w:id="53"/>
      <w:r w:rsidRPr="00A524F8">
        <w:rPr>
          <w:rFonts w:ascii="Arial" w:eastAsia="Times New Roman" w:hAnsi="Arial" w:cs="Arial"/>
          <w:b/>
          <w:bCs/>
          <w:kern w:val="0"/>
          <w:szCs w:val="24"/>
          <w:lang w:eastAsia="es-ES"/>
        </w:rPr>
        <w:t xml:space="preserve">113. </w:t>
      </w:r>
      <w:hyperlink r:id="rId150" w:anchor="1" w:history="1">
        <w:r w:rsidRPr="00A524F8">
          <w:rPr>
            <w:rFonts w:ascii="Arial" w:eastAsia="Times New Roman" w:hAnsi="Arial" w:cs="Arial"/>
            <w:color w:val="0000FF"/>
            <w:kern w:val="0"/>
            <w:szCs w:val="24"/>
            <w:u w:val="single"/>
            <w:lang w:eastAsia="es-ES"/>
          </w:rPr>
          <w:t>Declarado Exequible Sentencia Corte Constitucional 618 de 2002</w:t>
        </w:r>
      </w:hyperlink>
      <w:r w:rsidRPr="00A524F8">
        <w:rPr>
          <w:rFonts w:ascii="Arial" w:eastAsia="Times New Roman" w:hAnsi="Arial" w:cs="Arial"/>
          <w:kern w:val="0"/>
          <w:szCs w:val="24"/>
          <w:lang w:eastAsia="es-ES"/>
        </w:rPr>
        <w:t xml:space="preserve"> . Vigencia y derogatorias. La presente Ley rige a partir de la fecha de su sanción y deroga la Ley </w:t>
      </w:r>
      <w:hyperlink r:id="rId151" w:anchor="0" w:history="1">
        <w:r w:rsidRPr="00A524F8">
          <w:rPr>
            <w:rFonts w:ascii="Arial" w:eastAsia="Times New Roman" w:hAnsi="Arial" w:cs="Arial"/>
            <w:color w:val="0000FF"/>
            <w:kern w:val="0"/>
            <w:szCs w:val="24"/>
            <w:u w:val="single"/>
            <w:lang w:eastAsia="es-ES"/>
          </w:rPr>
          <w:t>60</w:t>
        </w:r>
      </w:hyperlink>
      <w:r w:rsidRPr="00A524F8">
        <w:rPr>
          <w:rFonts w:ascii="Arial" w:eastAsia="Times New Roman" w:hAnsi="Arial" w:cs="Arial"/>
          <w:kern w:val="0"/>
          <w:szCs w:val="24"/>
          <w:lang w:eastAsia="es-ES"/>
        </w:rPr>
        <w:t xml:space="preserve"> de 1993, los artículos 82, 102, 103, tercer inciso y parágrafo primero del artículo 105, 120, 121, 122, 123, 124, 134, el literal d) del numeral 1 del artículo 148, el artículo 154, el literal g) del artículo 158, el literal e) del artículo 161 y el artículo 172 de la Ley </w:t>
      </w:r>
      <w:hyperlink r:id="rId152" w:anchor="0" w:history="1">
        <w:r w:rsidRPr="00A524F8">
          <w:rPr>
            <w:rFonts w:ascii="Arial" w:eastAsia="Times New Roman" w:hAnsi="Arial" w:cs="Arial"/>
            <w:color w:val="0000FF"/>
            <w:kern w:val="0"/>
            <w:szCs w:val="24"/>
            <w:u w:val="single"/>
            <w:lang w:eastAsia="es-ES"/>
          </w:rPr>
          <w:t>115</w:t>
        </w:r>
      </w:hyperlink>
      <w:r w:rsidRPr="00A524F8">
        <w:rPr>
          <w:rFonts w:ascii="Arial" w:eastAsia="Times New Roman" w:hAnsi="Arial" w:cs="Arial"/>
          <w:kern w:val="0"/>
          <w:szCs w:val="24"/>
          <w:lang w:eastAsia="es-ES"/>
        </w:rPr>
        <w:t xml:space="preserve"> de 1994; los artículos 37, 61, las secciones 3 y 4 del Capítulo III del Decreto </w:t>
      </w:r>
      <w:hyperlink r:id="rId153" w:anchor="0" w:history="1">
        <w:r w:rsidRPr="00A524F8">
          <w:rPr>
            <w:rFonts w:ascii="Arial" w:eastAsia="Times New Roman" w:hAnsi="Arial" w:cs="Arial"/>
            <w:color w:val="0000FF"/>
            <w:kern w:val="0"/>
            <w:szCs w:val="24"/>
            <w:u w:val="single"/>
            <w:lang w:eastAsia="es-ES"/>
          </w:rPr>
          <w:t>2277</w:t>
        </w:r>
      </w:hyperlink>
      <w:r w:rsidRPr="00A524F8">
        <w:rPr>
          <w:rFonts w:ascii="Arial" w:eastAsia="Times New Roman" w:hAnsi="Arial" w:cs="Arial"/>
          <w:kern w:val="0"/>
          <w:szCs w:val="24"/>
          <w:lang w:eastAsia="es-ES"/>
        </w:rPr>
        <w:t xml:space="preserve"> de 1979, el último inciso del </w:t>
      </w:r>
      <w:hyperlink r:id="rId154" w:anchor="157" w:history="1">
        <w:r w:rsidRPr="00A524F8">
          <w:rPr>
            <w:rFonts w:ascii="Arial" w:eastAsia="Times New Roman" w:hAnsi="Arial" w:cs="Arial"/>
            <w:color w:val="0000FF"/>
            <w:kern w:val="0"/>
            <w:szCs w:val="24"/>
            <w:u w:val="single"/>
            <w:lang w:eastAsia="es-ES"/>
          </w:rPr>
          <w:t>artículo 157</w:t>
        </w:r>
      </w:hyperlink>
      <w:r w:rsidRPr="00A524F8">
        <w:rPr>
          <w:rFonts w:ascii="Arial" w:eastAsia="Times New Roman" w:hAnsi="Arial" w:cs="Arial"/>
          <w:kern w:val="0"/>
          <w:szCs w:val="24"/>
          <w:lang w:eastAsia="es-ES"/>
        </w:rPr>
        <w:t xml:space="preserve"> de la Ley 100 de 1993, los incisos tercero y cuarto del artículo 20 de la Ley </w:t>
      </w:r>
      <w:hyperlink r:id="rId155" w:anchor="0" w:history="1">
        <w:r w:rsidRPr="00A524F8">
          <w:rPr>
            <w:rFonts w:ascii="Arial" w:eastAsia="Times New Roman" w:hAnsi="Arial" w:cs="Arial"/>
            <w:color w:val="0000FF"/>
            <w:kern w:val="0"/>
            <w:szCs w:val="24"/>
            <w:u w:val="single"/>
            <w:lang w:eastAsia="es-ES"/>
          </w:rPr>
          <w:t>344</w:t>
        </w:r>
      </w:hyperlink>
      <w:r w:rsidRPr="00A524F8">
        <w:rPr>
          <w:rFonts w:ascii="Arial" w:eastAsia="Times New Roman" w:hAnsi="Arial" w:cs="Arial"/>
          <w:kern w:val="0"/>
          <w:szCs w:val="24"/>
          <w:lang w:eastAsia="es-ES"/>
        </w:rPr>
        <w:t xml:space="preserve"> de 1996 y las demás normas que le sean contrarias.</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El Presidente del honorable Senado de la República,</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Carlos García Orjuela.</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lastRenderedPageBreak/>
        <w:t>El Secretario General del honorable Senado de la República (E.),</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Luis Francisco Boada.</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El Presidente de la honorable Cámara de Representantes,</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Guillermo Gaviria Zapata.</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El Secretario General de la honorable Cámara de Representantes,</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Angelino Lizcano Rivera.</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REPUBLICA DE COLOMBIA - GOBIERNO NACIONAL</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Publíquese y cúmplase.</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Dada en Bogotá, D. C., a 21 de diciembre de 2001.</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ANDRES PASTRANA ARANGO</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El Ministro de Hacienda y Crédito Público,</w:t>
      </w:r>
    </w:p>
    <w:p w:rsidR="00A524F8" w:rsidRPr="00A524F8" w:rsidRDefault="00A524F8" w:rsidP="00A524F8">
      <w:pPr>
        <w:spacing w:before="100" w:beforeAutospacing="1" w:after="100" w:afterAutospacing="1"/>
        <w:jc w:val="center"/>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Juan Manuel Santos Calderón.</w:t>
      </w:r>
    </w:p>
    <w:p w:rsidR="00A524F8" w:rsidRPr="00A524F8" w:rsidRDefault="00A524F8" w:rsidP="00A524F8">
      <w:pPr>
        <w:spacing w:before="100" w:beforeAutospacing="1" w:after="100" w:afterAutospacing="1"/>
        <w:jc w:val="left"/>
        <w:rPr>
          <w:rFonts w:ascii="Arial" w:eastAsia="Times New Roman" w:hAnsi="Arial" w:cs="Arial"/>
          <w:kern w:val="0"/>
          <w:szCs w:val="24"/>
          <w:lang w:eastAsia="es-ES"/>
        </w:rPr>
      </w:pPr>
      <w:r w:rsidRPr="00A524F8">
        <w:rPr>
          <w:rFonts w:ascii="Arial" w:eastAsia="Times New Roman" w:hAnsi="Arial" w:cs="Arial"/>
          <w:kern w:val="0"/>
          <w:szCs w:val="24"/>
          <w:lang w:eastAsia="es-ES"/>
        </w:rPr>
        <w:t> </w:t>
      </w:r>
    </w:p>
    <w:p w:rsidR="00A524F8" w:rsidRPr="00A524F8" w:rsidRDefault="00A524F8" w:rsidP="00A524F8">
      <w:pPr>
        <w:spacing w:before="100" w:beforeAutospacing="1" w:after="100" w:afterAutospacing="1"/>
        <w:jc w:val="left"/>
        <w:rPr>
          <w:rFonts w:ascii="Arial" w:eastAsia="Times New Roman" w:hAnsi="Arial" w:cs="Arial"/>
          <w:b/>
          <w:bCs/>
          <w:kern w:val="0"/>
          <w:szCs w:val="24"/>
          <w:lang w:eastAsia="es-ES"/>
        </w:rPr>
      </w:pPr>
      <w:r w:rsidRPr="00A524F8">
        <w:rPr>
          <w:rFonts w:ascii="Arial" w:eastAsia="Times New Roman" w:hAnsi="Arial" w:cs="Arial"/>
          <w:b/>
          <w:bCs/>
          <w:kern w:val="0"/>
          <w:szCs w:val="24"/>
          <w:lang w:eastAsia="es-ES"/>
        </w:rPr>
        <w:t xml:space="preserve">Nota: La presente Ley fue publicado en el Diario Oficial No. 44654 del 21 de diciembre de 2001. AÑO CXXXVII. </w:t>
      </w:r>
    </w:p>
    <w:p w:rsidR="00033CD0" w:rsidRDefault="00A524F8">
      <w:r w:rsidRPr="00A524F8">
        <w:t>http://www.alcaldiabogota.gov.co/sisjur/normas/Norma1.jsp?i=4452#1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efaultTabStop w:val="708"/>
  <w:hyphenationZone w:val="425"/>
  <w:characterSpacingControl w:val="doNotCompress"/>
  <w:compat/>
  <w:rsids>
    <w:rsidRoot w:val="00CA6CC2"/>
    <w:rsid w:val="00033CD0"/>
    <w:rsid w:val="00523684"/>
    <w:rsid w:val="00A524F8"/>
    <w:rsid w:val="00CA6C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524F8"/>
    <w:rPr>
      <w:color w:val="0000FF"/>
      <w:u w:val="single"/>
    </w:rPr>
  </w:style>
  <w:style w:type="character" w:styleId="Hipervnculovisitado">
    <w:name w:val="FollowedHyperlink"/>
    <w:basedOn w:val="Fuentedeprrafopredeter"/>
    <w:uiPriority w:val="99"/>
    <w:semiHidden/>
    <w:unhideWhenUsed/>
    <w:rsid w:val="00A524F8"/>
    <w:rPr>
      <w:color w:val="0000FF"/>
      <w:u w:val="single"/>
    </w:rPr>
  </w:style>
  <w:style w:type="paragraph" w:customStyle="1" w:styleId="vinculo1">
    <w:name w:val="vinculo1"/>
    <w:basedOn w:val="Normal"/>
    <w:rsid w:val="00A524F8"/>
    <w:pPr>
      <w:spacing w:before="100" w:beforeAutospacing="1" w:after="100" w:afterAutospacing="1"/>
      <w:jc w:val="left"/>
    </w:pPr>
    <w:rPr>
      <w:rFonts w:ascii="Verdana" w:eastAsia="Times New Roman" w:hAnsi="Verdana" w:cs="Times New Roman"/>
      <w:b/>
      <w:bCs/>
      <w:color w:val="3366CC"/>
      <w:kern w:val="0"/>
      <w:sz w:val="17"/>
      <w:szCs w:val="17"/>
      <w:u w:val="single"/>
      <w:lang w:eastAsia="es-ES"/>
    </w:rPr>
  </w:style>
  <w:style w:type="paragraph" w:customStyle="1" w:styleId="vinculo2">
    <w:name w:val="vinculo2"/>
    <w:basedOn w:val="Normal"/>
    <w:rsid w:val="00A524F8"/>
    <w:pPr>
      <w:spacing w:before="100" w:beforeAutospacing="1" w:after="100" w:afterAutospacing="1"/>
      <w:jc w:val="left"/>
    </w:pPr>
    <w:rPr>
      <w:rFonts w:ascii="Verdana" w:eastAsia="Times New Roman" w:hAnsi="Verdana" w:cs="Times New Roman"/>
      <w:b/>
      <w:bCs/>
      <w:color w:val="000000"/>
      <w:kern w:val="0"/>
      <w:sz w:val="14"/>
      <w:szCs w:val="14"/>
      <w:u w:val="single"/>
      <w:lang w:eastAsia="es-ES"/>
    </w:rPr>
  </w:style>
  <w:style w:type="paragraph" w:customStyle="1" w:styleId="textoexplica">
    <w:name w:val="textoexplica"/>
    <w:basedOn w:val="Normal"/>
    <w:rsid w:val="00A524F8"/>
    <w:pPr>
      <w:spacing w:before="100" w:beforeAutospacing="1" w:after="100" w:afterAutospacing="1"/>
      <w:jc w:val="left"/>
    </w:pPr>
    <w:rPr>
      <w:rFonts w:ascii="Verdana" w:eastAsia="Times New Roman" w:hAnsi="Verdana" w:cs="Times New Roman"/>
      <w:kern w:val="0"/>
      <w:sz w:val="17"/>
      <w:szCs w:val="17"/>
      <w:lang w:eastAsia="es-ES"/>
    </w:rPr>
  </w:style>
  <w:style w:type="paragraph" w:customStyle="1" w:styleId="textoexplicapeq">
    <w:name w:val="textoexplicapeq"/>
    <w:basedOn w:val="Normal"/>
    <w:rsid w:val="00A524F8"/>
    <w:pPr>
      <w:spacing w:before="100" w:beforeAutospacing="1" w:after="100" w:afterAutospacing="1"/>
    </w:pPr>
    <w:rPr>
      <w:rFonts w:ascii="Arial" w:eastAsia="Times New Roman" w:hAnsi="Arial" w:cs="Arial"/>
      <w:kern w:val="0"/>
      <w:sz w:val="14"/>
      <w:szCs w:val="14"/>
      <w:lang w:eastAsia="es-ES"/>
    </w:rPr>
  </w:style>
  <w:style w:type="paragraph" w:customStyle="1" w:styleId="btn">
    <w:name w:val="btn"/>
    <w:basedOn w:val="Normal"/>
    <w:rsid w:val="00A524F8"/>
    <w:pPr>
      <w:shd w:val="clear" w:color="auto" w:fill="FF9933"/>
      <w:spacing w:before="100" w:beforeAutospacing="1" w:after="100" w:afterAutospacing="1"/>
      <w:jc w:val="left"/>
    </w:pPr>
    <w:rPr>
      <w:rFonts w:ascii="Arial" w:eastAsia="Times New Roman" w:hAnsi="Arial" w:cs="Arial"/>
      <w:color w:val="000000"/>
      <w:kern w:val="0"/>
      <w:sz w:val="14"/>
      <w:szCs w:val="14"/>
      <w:lang w:eastAsia="es-ES"/>
    </w:rPr>
  </w:style>
  <w:style w:type="paragraph" w:customStyle="1" w:styleId="textopequeno">
    <w:name w:val="textopequeno"/>
    <w:basedOn w:val="Normal"/>
    <w:rsid w:val="00A524F8"/>
    <w:pPr>
      <w:spacing w:before="100" w:beforeAutospacing="1" w:after="100" w:afterAutospacing="1"/>
      <w:jc w:val="center"/>
    </w:pPr>
    <w:rPr>
      <w:rFonts w:ascii="Arial" w:eastAsia="Times New Roman" w:hAnsi="Arial" w:cs="Arial"/>
      <w:b/>
      <w:bCs/>
      <w:color w:val="3366CC"/>
      <w:kern w:val="0"/>
      <w:sz w:val="17"/>
      <w:szCs w:val="17"/>
      <w:lang w:eastAsia="es-ES"/>
    </w:rPr>
  </w:style>
  <w:style w:type="paragraph" w:customStyle="1" w:styleId="textopequeno2">
    <w:name w:val="textopequeno2"/>
    <w:basedOn w:val="Normal"/>
    <w:rsid w:val="00A524F8"/>
    <w:pPr>
      <w:spacing w:before="100" w:beforeAutospacing="1" w:after="100" w:afterAutospacing="1"/>
      <w:jc w:val="left"/>
    </w:pPr>
    <w:rPr>
      <w:rFonts w:ascii="Arial" w:eastAsia="Times New Roman" w:hAnsi="Arial" w:cs="Arial"/>
      <w:b/>
      <w:bCs/>
      <w:color w:val="000000"/>
      <w:kern w:val="0"/>
      <w:sz w:val="17"/>
      <w:szCs w:val="17"/>
      <w:lang w:eastAsia="es-ES"/>
    </w:rPr>
  </w:style>
  <w:style w:type="paragraph" w:customStyle="1" w:styleId="textopequeno3">
    <w:name w:val="textopequeno3"/>
    <w:basedOn w:val="Normal"/>
    <w:rsid w:val="00A524F8"/>
    <w:pPr>
      <w:spacing w:before="100" w:beforeAutospacing="1" w:after="100" w:afterAutospacing="1"/>
      <w:jc w:val="center"/>
    </w:pPr>
    <w:rPr>
      <w:rFonts w:ascii="Arial" w:eastAsia="Times New Roman" w:hAnsi="Arial" w:cs="Arial"/>
      <w:b/>
      <w:bCs/>
      <w:color w:val="000000"/>
      <w:kern w:val="0"/>
      <w:sz w:val="17"/>
      <w:szCs w:val="17"/>
      <w:lang w:eastAsia="es-ES"/>
    </w:rPr>
  </w:style>
  <w:style w:type="paragraph" w:customStyle="1" w:styleId="textopequeno4">
    <w:name w:val="textopequeno4"/>
    <w:basedOn w:val="Normal"/>
    <w:rsid w:val="00A524F8"/>
    <w:pPr>
      <w:spacing w:before="100" w:beforeAutospacing="1" w:after="100" w:afterAutospacing="1"/>
      <w:jc w:val="center"/>
    </w:pPr>
    <w:rPr>
      <w:rFonts w:ascii="Arial" w:eastAsia="Times New Roman" w:hAnsi="Arial" w:cs="Arial"/>
      <w:b/>
      <w:bCs/>
      <w:color w:val="000000"/>
      <w:kern w:val="0"/>
      <w:sz w:val="14"/>
      <w:szCs w:val="14"/>
      <w:lang w:eastAsia="es-ES"/>
    </w:rPr>
  </w:style>
  <w:style w:type="paragraph" w:customStyle="1" w:styleId="textomedio">
    <w:name w:val="textomedio"/>
    <w:basedOn w:val="Normal"/>
    <w:rsid w:val="00A524F8"/>
    <w:pPr>
      <w:spacing w:before="100" w:beforeAutospacing="1" w:after="100" w:afterAutospacing="1"/>
      <w:jc w:val="center"/>
    </w:pPr>
    <w:rPr>
      <w:rFonts w:ascii="Arial" w:eastAsia="Times New Roman" w:hAnsi="Arial" w:cs="Arial"/>
      <w:b/>
      <w:bCs/>
      <w:color w:val="000000"/>
      <w:kern w:val="0"/>
      <w:sz w:val="19"/>
      <w:szCs w:val="19"/>
      <w:lang w:eastAsia="es-ES"/>
    </w:rPr>
  </w:style>
  <w:style w:type="paragraph" w:customStyle="1" w:styleId="btn1">
    <w:name w:val="btn1"/>
    <w:basedOn w:val="Normal"/>
    <w:rsid w:val="00A524F8"/>
    <w:pPr>
      <w:spacing w:before="100" w:beforeAutospacing="1" w:after="100" w:afterAutospacing="1"/>
      <w:jc w:val="left"/>
    </w:pPr>
    <w:rPr>
      <w:rFonts w:ascii="Arial" w:eastAsia="Times New Roman" w:hAnsi="Arial" w:cs="Arial"/>
      <w:color w:val="000000"/>
      <w:kern w:val="0"/>
      <w:sz w:val="14"/>
      <w:szCs w:val="14"/>
      <w:lang w:eastAsia="es-ES"/>
    </w:rPr>
  </w:style>
  <w:style w:type="paragraph" w:customStyle="1" w:styleId="fondo">
    <w:name w:val="fondo"/>
    <w:basedOn w:val="Normal"/>
    <w:rsid w:val="00A524F8"/>
    <w:pPr>
      <w:spacing w:before="100" w:beforeAutospacing="1" w:after="100" w:afterAutospacing="1"/>
      <w:jc w:val="left"/>
    </w:pPr>
    <w:rPr>
      <w:rFonts w:eastAsia="Times New Roman" w:cs="Times New Roman"/>
      <w:kern w:val="0"/>
      <w:szCs w:val="24"/>
      <w:lang w:eastAsia="es-ES"/>
    </w:rPr>
  </w:style>
  <w:style w:type="paragraph" w:customStyle="1" w:styleId="azul">
    <w:name w:val="azul"/>
    <w:basedOn w:val="Normal"/>
    <w:rsid w:val="00A524F8"/>
    <w:pPr>
      <w:shd w:val="clear" w:color="auto" w:fill="9B806A"/>
      <w:spacing w:before="100" w:beforeAutospacing="1" w:after="100" w:afterAutospacing="1"/>
      <w:jc w:val="left"/>
    </w:pPr>
    <w:rPr>
      <w:rFonts w:ascii="Arial" w:eastAsia="Times New Roman" w:hAnsi="Arial" w:cs="Arial"/>
      <w:b/>
      <w:bCs/>
      <w:color w:val="FFFFFF"/>
      <w:kern w:val="0"/>
      <w:sz w:val="19"/>
      <w:szCs w:val="19"/>
      <w:lang w:eastAsia="es-ES"/>
    </w:rPr>
  </w:style>
  <w:style w:type="paragraph" w:customStyle="1" w:styleId="gris">
    <w:name w:val="gris"/>
    <w:basedOn w:val="Normal"/>
    <w:rsid w:val="00A524F8"/>
    <w:pPr>
      <w:shd w:val="clear" w:color="auto" w:fill="CCCCCC"/>
      <w:spacing w:before="100" w:beforeAutospacing="1" w:after="100" w:afterAutospacing="1"/>
      <w:jc w:val="left"/>
    </w:pPr>
    <w:rPr>
      <w:rFonts w:eastAsia="Times New Roman" w:cs="Times New Roman"/>
      <w:kern w:val="0"/>
      <w:szCs w:val="24"/>
      <w:lang w:eastAsia="es-ES"/>
    </w:rPr>
  </w:style>
  <w:style w:type="paragraph" w:customStyle="1" w:styleId="orawizbannercolor">
    <w:name w:val="orawizbannercolor"/>
    <w:basedOn w:val="Normal"/>
    <w:rsid w:val="00A524F8"/>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orawizbannerlogo">
    <w:name w:val="orawizbannerlogo"/>
    <w:basedOn w:val="Normal"/>
    <w:rsid w:val="00A524F8"/>
    <w:pPr>
      <w:spacing w:before="100" w:beforeAutospacing="1" w:after="100" w:afterAutospacing="1"/>
      <w:jc w:val="left"/>
    </w:pPr>
    <w:rPr>
      <w:rFonts w:eastAsia="Times New Roman" w:cs="Times New Roman"/>
      <w:kern w:val="0"/>
      <w:szCs w:val="24"/>
      <w:lang w:eastAsia="es-ES"/>
    </w:rPr>
  </w:style>
  <w:style w:type="paragraph" w:customStyle="1" w:styleId="orawizbannertitle">
    <w:name w:val="orawizbannertitle"/>
    <w:basedOn w:val="Normal"/>
    <w:rsid w:val="00A524F8"/>
    <w:pPr>
      <w:spacing w:before="100" w:beforeAutospacing="1" w:after="100" w:afterAutospacing="1"/>
      <w:jc w:val="left"/>
    </w:pPr>
    <w:rPr>
      <w:rFonts w:ascii="Arial" w:eastAsia="Times New Roman" w:hAnsi="Arial" w:cs="Arial"/>
      <w:b/>
      <w:bCs/>
      <w:color w:val="FFFFFF"/>
      <w:kern w:val="0"/>
      <w:sz w:val="32"/>
      <w:szCs w:val="32"/>
      <w:lang w:eastAsia="es-ES"/>
    </w:rPr>
  </w:style>
  <w:style w:type="paragraph" w:customStyle="1" w:styleId="orawizbannerlink">
    <w:name w:val="orawizbannerlink"/>
    <w:basedOn w:val="Normal"/>
    <w:rsid w:val="00A524F8"/>
    <w:pPr>
      <w:spacing w:before="100" w:beforeAutospacing="1" w:after="100" w:afterAutospacing="1"/>
      <w:jc w:val="left"/>
    </w:pPr>
    <w:rPr>
      <w:rFonts w:ascii="Arial" w:eastAsia="Times New Roman" w:hAnsi="Arial" w:cs="Arial"/>
      <w:color w:val="663300"/>
      <w:kern w:val="0"/>
      <w:sz w:val="16"/>
      <w:szCs w:val="16"/>
      <w:lang w:eastAsia="es-ES"/>
    </w:rPr>
  </w:style>
  <w:style w:type="paragraph" w:customStyle="1" w:styleId="orawizpagecolor">
    <w:name w:val="orawizpagecolor"/>
    <w:basedOn w:val="Normal"/>
    <w:rsid w:val="00A524F8"/>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orabgcolordark">
    <w:name w:val="orabgcolordark"/>
    <w:basedOn w:val="Normal"/>
    <w:rsid w:val="00A524F8"/>
    <w:pPr>
      <w:shd w:val="clear" w:color="auto" w:fill="693427"/>
      <w:spacing w:before="100" w:beforeAutospacing="1" w:after="100" w:afterAutospacing="1"/>
      <w:jc w:val="left"/>
    </w:pPr>
    <w:rPr>
      <w:rFonts w:eastAsia="Times New Roman" w:cs="Times New Roman"/>
      <w:kern w:val="0"/>
      <w:szCs w:val="24"/>
      <w:lang w:eastAsia="es-ES"/>
    </w:rPr>
  </w:style>
  <w:style w:type="paragraph" w:customStyle="1" w:styleId="oraglobalpagetitle">
    <w:name w:val="oraglobalpagetitle"/>
    <w:basedOn w:val="Normal"/>
    <w:rsid w:val="00A524F8"/>
    <w:pPr>
      <w:spacing w:before="100" w:beforeAutospacing="1" w:after="100" w:afterAutospacing="1"/>
      <w:jc w:val="left"/>
    </w:pPr>
    <w:rPr>
      <w:rFonts w:ascii="Arial" w:eastAsia="Times New Roman" w:hAnsi="Arial" w:cs="Arial"/>
      <w:b/>
      <w:bCs/>
      <w:color w:val="FFFFFF"/>
      <w:kern w:val="0"/>
      <w:sz w:val="22"/>
      <w:lang w:eastAsia="es-ES"/>
    </w:rPr>
  </w:style>
  <w:style w:type="paragraph" w:customStyle="1" w:styleId="orabgcolordark1">
    <w:name w:val="orabgcolordark1"/>
    <w:basedOn w:val="Normal"/>
    <w:rsid w:val="00A524F8"/>
    <w:pPr>
      <w:shd w:val="clear" w:color="auto" w:fill="693427"/>
      <w:spacing w:before="100" w:beforeAutospacing="1" w:after="100" w:afterAutospacing="1"/>
      <w:jc w:val="left"/>
    </w:pPr>
    <w:rPr>
      <w:rFonts w:eastAsia="Times New Roman" w:cs="Times New Roman"/>
      <w:kern w:val="0"/>
      <w:szCs w:val="24"/>
      <w:lang w:eastAsia="es-ES"/>
    </w:rPr>
  </w:style>
  <w:style w:type="paragraph" w:customStyle="1" w:styleId="oranav1selected">
    <w:name w:val="oranav1selected"/>
    <w:basedOn w:val="Normal"/>
    <w:rsid w:val="00A524F8"/>
    <w:pPr>
      <w:spacing w:before="100" w:beforeAutospacing="1" w:after="100" w:afterAutospacing="1"/>
      <w:jc w:val="left"/>
    </w:pPr>
    <w:rPr>
      <w:rFonts w:ascii="Arial" w:eastAsia="Times New Roman" w:hAnsi="Arial" w:cs="Arial"/>
      <w:b/>
      <w:bCs/>
      <w:color w:val="99CCFF"/>
      <w:kern w:val="0"/>
      <w:sz w:val="22"/>
      <w:lang w:eastAsia="es-ES"/>
    </w:rPr>
  </w:style>
  <w:style w:type="paragraph" w:customStyle="1" w:styleId="orabgaccentdark">
    <w:name w:val="orabgaccentdark"/>
    <w:basedOn w:val="Normal"/>
    <w:rsid w:val="00A524F8"/>
    <w:pPr>
      <w:shd w:val="clear" w:color="auto" w:fill="CCCC99"/>
      <w:spacing w:before="100" w:beforeAutospacing="1" w:after="100" w:afterAutospacing="1"/>
      <w:jc w:val="left"/>
    </w:pPr>
    <w:rPr>
      <w:rFonts w:eastAsia="Times New Roman" w:cs="Times New Roman"/>
      <w:kern w:val="0"/>
      <w:szCs w:val="24"/>
      <w:lang w:eastAsia="es-ES"/>
    </w:rPr>
  </w:style>
  <w:style w:type="paragraph" w:customStyle="1" w:styleId="oranav1enabled">
    <w:name w:val="oranav1enabled"/>
    <w:basedOn w:val="Normal"/>
    <w:rsid w:val="00A524F8"/>
    <w:pPr>
      <w:spacing w:before="100" w:beforeAutospacing="1" w:after="100" w:afterAutospacing="1"/>
      <w:jc w:val="left"/>
    </w:pPr>
    <w:rPr>
      <w:rFonts w:ascii="Arial" w:eastAsia="Times New Roman" w:hAnsi="Arial" w:cs="Arial"/>
      <w:color w:val="003366"/>
      <w:kern w:val="0"/>
      <w:sz w:val="22"/>
      <w:lang w:eastAsia="es-ES"/>
    </w:rPr>
  </w:style>
  <w:style w:type="paragraph" w:customStyle="1" w:styleId="oraheadersub">
    <w:name w:val="oraheadersub"/>
    <w:basedOn w:val="Normal"/>
    <w:rsid w:val="00A524F8"/>
    <w:pPr>
      <w:spacing w:before="100" w:beforeAutospacing="1" w:after="100" w:afterAutospacing="1"/>
      <w:jc w:val="left"/>
    </w:pPr>
    <w:rPr>
      <w:rFonts w:ascii="Arial" w:eastAsia="Times New Roman" w:hAnsi="Arial" w:cs="Arial"/>
      <w:color w:val="336699"/>
      <w:kern w:val="0"/>
      <w:sz w:val="32"/>
      <w:szCs w:val="32"/>
      <w:lang w:eastAsia="es-ES"/>
    </w:rPr>
  </w:style>
  <w:style w:type="paragraph" w:customStyle="1" w:styleId="oraheadersubsub">
    <w:name w:val="oraheadersubsub"/>
    <w:basedOn w:val="Normal"/>
    <w:rsid w:val="00A524F8"/>
    <w:pPr>
      <w:spacing w:before="100" w:beforeAutospacing="1" w:after="100" w:afterAutospacing="1"/>
      <w:jc w:val="left"/>
    </w:pPr>
    <w:rPr>
      <w:rFonts w:ascii="Arial" w:eastAsia="Times New Roman" w:hAnsi="Arial" w:cs="Arial"/>
      <w:b/>
      <w:bCs/>
      <w:color w:val="336699"/>
      <w:kern w:val="0"/>
      <w:sz w:val="22"/>
      <w:lang w:eastAsia="es-ES"/>
    </w:rPr>
  </w:style>
  <w:style w:type="paragraph" w:customStyle="1" w:styleId="orainstructiontext">
    <w:name w:val="orainstructiontext"/>
    <w:basedOn w:val="Normal"/>
    <w:rsid w:val="00A524F8"/>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orainlineinfo">
    <w:name w:val="orainlineinfo"/>
    <w:basedOn w:val="Normal"/>
    <w:rsid w:val="00A524F8"/>
    <w:pPr>
      <w:spacing w:before="100" w:beforeAutospacing="1" w:after="100" w:afterAutospacing="1"/>
      <w:jc w:val="left"/>
    </w:pPr>
    <w:rPr>
      <w:rFonts w:ascii="Arial" w:eastAsia="Times New Roman" w:hAnsi="Arial" w:cs="Arial"/>
      <w:color w:val="336699"/>
      <w:kern w:val="0"/>
      <w:sz w:val="16"/>
      <w:szCs w:val="16"/>
      <w:lang w:eastAsia="es-ES"/>
    </w:rPr>
  </w:style>
  <w:style w:type="paragraph" w:customStyle="1" w:styleId="orafieldtext">
    <w:name w:val="orafieldtext"/>
    <w:basedOn w:val="Normal"/>
    <w:rsid w:val="00A524F8"/>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orainlineinfo2">
    <w:name w:val="orainlineinfo2"/>
    <w:basedOn w:val="Normal"/>
    <w:rsid w:val="00A524F8"/>
    <w:pPr>
      <w:spacing w:before="100" w:beforeAutospacing="1" w:after="100" w:afterAutospacing="1"/>
      <w:jc w:val="left"/>
    </w:pPr>
    <w:rPr>
      <w:rFonts w:ascii="Arial" w:eastAsia="Times New Roman" w:hAnsi="Arial" w:cs="Arial"/>
      <w:b/>
      <w:bCs/>
      <w:color w:val="336699"/>
      <w:kern w:val="0"/>
      <w:sz w:val="16"/>
      <w:szCs w:val="16"/>
      <w:lang w:eastAsia="es-ES"/>
    </w:rPr>
  </w:style>
  <w:style w:type="paragraph" w:customStyle="1" w:styleId="oracopyright">
    <w:name w:val="oracopyright"/>
    <w:basedOn w:val="Normal"/>
    <w:rsid w:val="00A524F8"/>
    <w:pPr>
      <w:spacing w:before="100" w:beforeAutospacing="1" w:after="100" w:afterAutospacing="1"/>
      <w:jc w:val="left"/>
    </w:pPr>
    <w:rPr>
      <w:rFonts w:ascii="Arial" w:eastAsia="Times New Roman" w:hAnsi="Arial" w:cs="Arial"/>
      <w:color w:val="000000"/>
      <w:kern w:val="0"/>
      <w:sz w:val="16"/>
      <w:szCs w:val="16"/>
      <w:lang w:eastAsia="es-ES"/>
    </w:rPr>
  </w:style>
  <w:style w:type="paragraph" w:customStyle="1" w:styleId="oraprivacy">
    <w:name w:val="oraprivacy"/>
    <w:basedOn w:val="Normal"/>
    <w:rsid w:val="00A524F8"/>
    <w:pPr>
      <w:spacing w:before="100" w:beforeAutospacing="1" w:after="100" w:afterAutospacing="1"/>
      <w:jc w:val="left"/>
    </w:pPr>
    <w:rPr>
      <w:rFonts w:ascii="Arial" w:eastAsia="Times New Roman" w:hAnsi="Arial" w:cs="Arial"/>
      <w:color w:val="663300"/>
      <w:kern w:val="0"/>
      <w:sz w:val="16"/>
      <w:szCs w:val="16"/>
      <w:lang w:eastAsia="es-ES"/>
    </w:rPr>
  </w:style>
  <w:style w:type="paragraph" w:customStyle="1" w:styleId="oraerrorheader">
    <w:name w:val="oraerrorheader"/>
    <w:basedOn w:val="Normal"/>
    <w:rsid w:val="00A524F8"/>
    <w:pPr>
      <w:spacing w:before="100" w:beforeAutospacing="1" w:after="100" w:afterAutospacing="1"/>
      <w:jc w:val="left"/>
    </w:pPr>
    <w:rPr>
      <w:rFonts w:ascii="Arial" w:eastAsia="Times New Roman" w:hAnsi="Arial" w:cs="Arial"/>
      <w:b/>
      <w:bCs/>
      <w:color w:val="CC0000"/>
      <w:kern w:val="0"/>
      <w:sz w:val="22"/>
      <w:lang w:eastAsia="es-ES"/>
    </w:rPr>
  </w:style>
  <w:style w:type="paragraph" w:customStyle="1" w:styleId="oraerrortext">
    <w:name w:val="oraerrortext"/>
    <w:basedOn w:val="Normal"/>
    <w:rsid w:val="00A524F8"/>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vinculolegislacion">
    <w:name w:val="vinculolegislacion"/>
    <w:basedOn w:val="Normal"/>
    <w:rsid w:val="00A524F8"/>
    <w:pPr>
      <w:spacing w:before="100" w:beforeAutospacing="1" w:after="100" w:afterAutospacing="1"/>
      <w:jc w:val="left"/>
    </w:pPr>
    <w:rPr>
      <w:rFonts w:ascii="Arial" w:eastAsia="Times New Roman" w:hAnsi="Arial" w:cs="Arial"/>
      <w:b/>
      <w:bCs/>
      <w:color w:val="0066FF"/>
      <w:kern w:val="0"/>
      <w:sz w:val="14"/>
      <w:szCs w:val="14"/>
      <w:lang w:eastAsia="es-ES"/>
    </w:rPr>
  </w:style>
  <w:style w:type="paragraph" w:styleId="NormalWeb">
    <w:name w:val="Normal (Web)"/>
    <w:basedOn w:val="Normal"/>
    <w:uiPriority w:val="99"/>
    <w:semiHidden/>
    <w:unhideWhenUsed/>
    <w:rsid w:val="00A524F8"/>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A524F8"/>
    <w:rPr>
      <w:b/>
      <w:bCs/>
    </w:rPr>
  </w:style>
</w:styles>
</file>

<file path=word/webSettings.xml><?xml version="1.0" encoding="utf-8"?>
<w:webSettings xmlns:r="http://schemas.openxmlformats.org/officeDocument/2006/relationships" xmlns:w="http://schemas.openxmlformats.org/wordprocessingml/2006/main">
  <w:divs>
    <w:div w:id="1827284117">
      <w:bodyDiv w:val="1"/>
      <w:marLeft w:val="0"/>
      <w:marRight w:val="0"/>
      <w:marTop w:val="0"/>
      <w:marBottom w:val="0"/>
      <w:divBdr>
        <w:top w:val="none" w:sz="0" w:space="0" w:color="auto"/>
        <w:left w:val="none" w:sz="0" w:space="0" w:color="auto"/>
        <w:bottom w:val="none" w:sz="0" w:space="0" w:color="auto"/>
        <w:right w:val="none" w:sz="0" w:space="0" w:color="auto"/>
      </w:divBdr>
      <w:divsChild>
        <w:div w:id="1147168064">
          <w:marLeft w:val="0"/>
          <w:marRight w:val="0"/>
          <w:marTop w:val="0"/>
          <w:marBottom w:val="0"/>
          <w:divBdr>
            <w:top w:val="none" w:sz="0" w:space="0" w:color="auto"/>
            <w:left w:val="none" w:sz="0" w:space="0" w:color="auto"/>
            <w:bottom w:val="none" w:sz="0" w:space="0" w:color="auto"/>
            <w:right w:val="none" w:sz="0" w:space="0" w:color="auto"/>
          </w:divBdr>
          <w:divsChild>
            <w:div w:id="14940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lcaldiabogota.gov.co/sisjur/normas/Norma1.jsp?i=12609" TargetMode="External"/><Relationship Id="rId117" Type="http://schemas.openxmlformats.org/officeDocument/2006/relationships/hyperlink" Target="http://www.alcaldiabogota.gov.co/sisjur/normas/Norma1.jsp?i=8677" TargetMode="External"/><Relationship Id="rId21" Type="http://schemas.openxmlformats.org/officeDocument/2006/relationships/hyperlink" Target="http://www.alcaldiabogota.gov.co/sisjur/normas/Norma1.jsp?i=28306" TargetMode="External"/><Relationship Id="rId42" Type="http://schemas.openxmlformats.org/officeDocument/2006/relationships/hyperlink" Target="http://www.alcaldiabogota.gov.co/sisjur/normas/Norma1.jsp?i=34652" TargetMode="External"/><Relationship Id="rId47" Type="http://schemas.openxmlformats.org/officeDocument/2006/relationships/hyperlink" Target="http://www.alcaldiabogota.gov.co/sisjur/normas/Norma1.jsp?i=11036" TargetMode="External"/><Relationship Id="rId63" Type="http://schemas.openxmlformats.org/officeDocument/2006/relationships/hyperlink" Target="http://www.alcaldiabogota.gov.co/sisjur/normas/Norma1.jsp?i=28306" TargetMode="External"/><Relationship Id="rId68" Type="http://schemas.openxmlformats.org/officeDocument/2006/relationships/hyperlink" Target="http://www.alcaldiabogota.gov.co/sisjur/normas/Norma1.jsp?i=4942" TargetMode="External"/><Relationship Id="rId84" Type="http://schemas.openxmlformats.org/officeDocument/2006/relationships/hyperlink" Target="http://www.alcaldiabogota.gov.co/sisjur/normas/Norma1.jsp?i=28306" TargetMode="External"/><Relationship Id="rId89" Type="http://schemas.openxmlformats.org/officeDocument/2006/relationships/hyperlink" Target="http://www.alcaldiabogota.gov.co/sisjur/normas/Norma1.jsp?i=28306" TargetMode="External"/><Relationship Id="rId112" Type="http://schemas.openxmlformats.org/officeDocument/2006/relationships/hyperlink" Target="http://www.alcaldiabogota.gov.co/sisjur/normas/Norma1.jsp?i=11650" TargetMode="External"/><Relationship Id="rId133" Type="http://schemas.openxmlformats.org/officeDocument/2006/relationships/hyperlink" Target="http://www.alcaldiabogota.gov.co/sisjur/normas/Norma1.jsp?i=5993" TargetMode="External"/><Relationship Id="rId138" Type="http://schemas.openxmlformats.org/officeDocument/2006/relationships/hyperlink" Target="http://www.alcaldiabogota.gov.co/sisjur/normas/Norma1.jsp?i=9874" TargetMode="External"/><Relationship Id="rId154" Type="http://schemas.openxmlformats.org/officeDocument/2006/relationships/hyperlink" Target="http://www.alcaldiabogota.gov.co/sisjur/normas/Norma1.jsp?i=5248" TargetMode="External"/><Relationship Id="rId16" Type="http://schemas.openxmlformats.org/officeDocument/2006/relationships/hyperlink" Target="http://www.alcaldiabogota.gov.co/sisjur/normas/Norma1.jsp?i=3420" TargetMode="External"/><Relationship Id="rId107" Type="http://schemas.openxmlformats.org/officeDocument/2006/relationships/hyperlink" Target="http://www.alcaldiabogota.gov.co/sisjur/normas/Norma1.jsp?i=5355" TargetMode="External"/><Relationship Id="rId11" Type="http://schemas.openxmlformats.org/officeDocument/2006/relationships/hyperlink" Target="http://www.alcaldiabogota.gov.co/sisjur/normas/Norma1.jsp?i=7147" TargetMode="External"/><Relationship Id="rId32" Type="http://schemas.openxmlformats.org/officeDocument/2006/relationships/hyperlink" Target="http://www.alcaldiabogota.gov.co/sisjur/normas/Norma1.jsp?i=16254" TargetMode="External"/><Relationship Id="rId37" Type="http://schemas.openxmlformats.org/officeDocument/2006/relationships/hyperlink" Target="http://www.alcaldiabogota.gov.co/sisjur/normas/Norma1.jsp?i=5348" TargetMode="External"/><Relationship Id="rId53" Type="http://schemas.openxmlformats.org/officeDocument/2006/relationships/hyperlink" Target="http://www.alcaldiabogota.gov.co/sisjur/normas/Norma1.jsp?i=10831" TargetMode="External"/><Relationship Id="rId58" Type="http://schemas.openxmlformats.org/officeDocument/2006/relationships/hyperlink" Target="http://www.alcaldiabogota.gov.co/sisjur/normas/Norma1.jsp?i=20060" TargetMode="External"/><Relationship Id="rId74" Type="http://schemas.openxmlformats.org/officeDocument/2006/relationships/hyperlink" Target="http://www.alcaldiabogota.gov.co/sisjur/normas/Norma1.jsp?i=5527" TargetMode="External"/><Relationship Id="rId79" Type="http://schemas.openxmlformats.org/officeDocument/2006/relationships/hyperlink" Target="http://www.alcaldiabogota.gov.co/sisjur/normas/Norma1.jsp?i=39779" TargetMode="External"/><Relationship Id="rId102" Type="http://schemas.openxmlformats.org/officeDocument/2006/relationships/hyperlink" Target="http://www.alcaldiabogota.gov.co/sisjur/normas/Norma1.jsp?i=4927" TargetMode="External"/><Relationship Id="rId123" Type="http://schemas.openxmlformats.org/officeDocument/2006/relationships/hyperlink" Target="http://www.alcaldiabogota.gov.co/sisjur/normas/Norma1.jsp?i=4930" TargetMode="External"/><Relationship Id="rId128" Type="http://schemas.openxmlformats.org/officeDocument/2006/relationships/hyperlink" Target="http://www.alcaldiabogota.gov.co/sisjur/normas/Norma1.jsp?i=4930" TargetMode="External"/><Relationship Id="rId144" Type="http://schemas.openxmlformats.org/officeDocument/2006/relationships/hyperlink" Target="http://www.alcaldiabogota.gov.co/sisjur/normas/Norma1.jsp?i=4831" TargetMode="External"/><Relationship Id="rId149" Type="http://schemas.openxmlformats.org/officeDocument/2006/relationships/hyperlink" Target="http://www.alcaldiabogota.gov.co/sisjur/normas/Norma1.jsp?i=7278" TargetMode="External"/><Relationship Id="rId5" Type="http://schemas.openxmlformats.org/officeDocument/2006/relationships/hyperlink" Target="http://www.alcaldiabogota.gov.co/sisjur/normas/Norma1.jsp?i=6352" TargetMode="External"/><Relationship Id="rId90" Type="http://schemas.openxmlformats.org/officeDocument/2006/relationships/hyperlink" Target="http://www.alcaldiabogota.gov.co/sisjur/normas/Norma1.jsp?i=38290" TargetMode="External"/><Relationship Id="rId95" Type="http://schemas.openxmlformats.org/officeDocument/2006/relationships/hyperlink" Target="http://www.alcaldiabogota.gov.co/sisjur/normas/Norma1.jsp?i=5233" TargetMode="External"/><Relationship Id="rId22" Type="http://schemas.openxmlformats.org/officeDocument/2006/relationships/hyperlink" Target="http://www.alcaldiabogota.gov.co/sisjur/normas/Norma1.jsp?i=4135" TargetMode="External"/><Relationship Id="rId27" Type="http://schemas.openxmlformats.org/officeDocument/2006/relationships/hyperlink" Target="http://www.alcaldiabogota.gov.co/sisjur/normas/Norma1.jsp?i=28351" TargetMode="External"/><Relationship Id="rId43" Type="http://schemas.openxmlformats.org/officeDocument/2006/relationships/hyperlink" Target="http://www.alcaldiabogota.gov.co/sisjur/normas/Norma1.jsp?i=6781" TargetMode="External"/><Relationship Id="rId48" Type="http://schemas.openxmlformats.org/officeDocument/2006/relationships/hyperlink" Target="http://www.alcaldiabogota.gov.co/sisjur/normas/Norma1.jsp?i=9873" TargetMode="External"/><Relationship Id="rId64" Type="http://schemas.openxmlformats.org/officeDocument/2006/relationships/hyperlink" Target="http://www.alcaldiabogota.gov.co/sisjur/normas/Norma1.jsp?i=12609" TargetMode="External"/><Relationship Id="rId69" Type="http://schemas.openxmlformats.org/officeDocument/2006/relationships/hyperlink" Target="http://www.alcaldiabogota.gov.co/sisjur/normas/Norma1.jsp?i=5353" TargetMode="External"/><Relationship Id="rId113" Type="http://schemas.openxmlformats.org/officeDocument/2006/relationships/hyperlink" Target="http://www.alcaldiabogota.gov.co/sisjur/normas/Norma1.jsp?i=6132" TargetMode="External"/><Relationship Id="rId118" Type="http://schemas.openxmlformats.org/officeDocument/2006/relationships/hyperlink" Target="http://www.alcaldiabogota.gov.co/sisjur/normas/Norma1.jsp?i=5220" TargetMode="External"/><Relationship Id="rId134" Type="http://schemas.openxmlformats.org/officeDocument/2006/relationships/hyperlink" Target="http://www.alcaldiabogota.gov.co/sisjur/normas/Norma1.jsp?i=15422" TargetMode="External"/><Relationship Id="rId139" Type="http://schemas.openxmlformats.org/officeDocument/2006/relationships/hyperlink" Target="http://www.alcaldiabogota.gov.co/sisjur/normas/Norma1.jsp?i=6403" TargetMode="External"/><Relationship Id="rId80" Type="http://schemas.openxmlformats.org/officeDocument/2006/relationships/hyperlink" Target="http://www.alcaldiabogota.gov.co/sisjur/normas/Norma1.jsp?i=33195" TargetMode="External"/><Relationship Id="rId85" Type="http://schemas.openxmlformats.org/officeDocument/2006/relationships/hyperlink" Target="http://www.alcaldiabogota.gov.co/sisjur/normas/Norma1.jsp?i=4700" TargetMode="External"/><Relationship Id="rId150" Type="http://schemas.openxmlformats.org/officeDocument/2006/relationships/hyperlink" Target="http://www.alcaldiabogota.gov.co/sisjur/normas/Norma1.jsp?i=6355" TargetMode="External"/><Relationship Id="rId155" Type="http://schemas.openxmlformats.org/officeDocument/2006/relationships/hyperlink" Target="http://www.alcaldiabogota.gov.co/sisjur/normas/Norma1.jsp?i=345" TargetMode="External"/><Relationship Id="rId12" Type="http://schemas.openxmlformats.org/officeDocument/2006/relationships/hyperlink" Target="http://calsegen01.alcaldiabogota.gov.co:7772/sisjur/normas/Norma1.jsp?i=25671" TargetMode="External"/><Relationship Id="rId17" Type="http://schemas.openxmlformats.org/officeDocument/2006/relationships/hyperlink" Target="http://www.alcaldiabogota.gov.co/sisjur/normas/Norma1.jsp?i=4930" TargetMode="External"/><Relationship Id="rId33" Type="http://schemas.openxmlformats.org/officeDocument/2006/relationships/hyperlink" Target="http://www.alcaldiabogota.gov.co/sisjur/normas/Norma1.jsp?i=4714" TargetMode="External"/><Relationship Id="rId38" Type="http://schemas.openxmlformats.org/officeDocument/2006/relationships/hyperlink" Target="http://www.alcaldiabogota.gov.co/sisjur/normas/Norma1.jsp?i=34652" TargetMode="External"/><Relationship Id="rId59" Type="http://schemas.openxmlformats.org/officeDocument/2006/relationships/hyperlink" Target="http://www.alcaldiabogota.gov.co/sisjur/normas/Norma1.jsp?i=18705" TargetMode="External"/><Relationship Id="rId103" Type="http://schemas.openxmlformats.org/officeDocument/2006/relationships/hyperlink" Target="http://calsegen01.alcaldiabogota.gov.co:7772/sisjur/normas/Norma1.jsp?i=26474" TargetMode="External"/><Relationship Id="rId108" Type="http://schemas.openxmlformats.org/officeDocument/2006/relationships/hyperlink" Target="http://www.alcaldiabogota.gov.co/sisjur/normas/Norma1.jsp?i=6132" TargetMode="External"/><Relationship Id="rId124" Type="http://schemas.openxmlformats.org/officeDocument/2006/relationships/hyperlink" Target="http://www.alcaldiabogota.gov.co/sisjur/normas/Norma1.jsp?i=6037" TargetMode="External"/><Relationship Id="rId129" Type="http://schemas.openxmlformats.org/officeDocument/2006/relationships/hyperlink" Target="http://www.alcaldiabogota.gov.co/sisjur/normas/Norma1.jsp?i=12938" TargetMode="External"/><Relationship Id="rId20" Type="http://schemas.openxmlformats.org/officeDocument/2006/relationships/hyperlink" Target="http://www.alcaldiabogota.gov.co/sisjur/normas/Norma1.jsp?i=4930" TargetMode="External"/><Relationship Id="rId41" Type="http://schemas.openxmlformats.org/officeDocument/2006/relationships/hyperlink" Target="http://www.alcaldiabogota.gov.co/sisjur/normas/Norma1.jsp?i=5348" TargetMode="External"/><Relationship Id="rId54" Type="http://schemas.openxmlformats.org/officeDocument/2006/relationships/hyperlink" Target="http://www.alcaldiabogota.gov.co/sisjur/normas/Norma1.jsp?i=38909" TargetMode="External"/><Relationship Id="rId62" Type="http://schemas.openxmlformats.org/officeDocument/2006/relationships/hyperlink" Target="http://www.alcaldiabogota.gov.co/sisjur/normas/Norma1.jsp?i=5567" TargetMode="External"/><Relationship Id="rId70" Type="http://schemas.openxmlformats.org/officeDocument/2006/relationships/hyperlink" Target="http://www.alcaldiabogota.gov.co/sisjur/normas/Norma1.jsp?i=4831" TargetMode="External"/><Relationship Id="rId75" Type="http://schemas.openxmlformats.org/officeDocument/2006/relationships/hyperlink" Target="http://www.alcaldiabogota.gov.co/sisjur/normas/Norma1.jsp?i=7565" TargetMode="External"/><Relationship Id="rId83" Type="http://schemas.openxmlformats.org/officeDocument/2006/relationships/hyperlink" Target="http://www.alcaldiabogota.gov.co/sisjur/normas/Norma1.jsp?i=13189" TargetMode="External"/><Relationship Id="rId88" Type="http://schemas.openxmlformats.org/officeDocument/2006/relationships/hyperlink" Target="http://www.alcaldiabogota.gov.co/sisjur/normas/Norma1.jsp?i=17442" TargetMode="External"/><Relationship Id="rId91" Type="http://schemas.openxmlformats.org/officeDocument/2006/relationships/hyperlink" Target="http://www.alcaldiabogota.gov.co/sisjur/normas/Norma1.jsp?i=4454" TargetMode="External"/><Relationship Id="rId96" Type="http://schemas.openxmlformats.org/officeDocument/2006/relationships/hyperlink" Target="http://www.alcaldiabogota.gov.co/sisjur/normas/Norma1.jsp?i=4454" TargetMode="External"/><Relationship Id="rId111" Type="http://schemas.openxmlformats.org/officeDocument/2006/relationships/hyperlink" Target="http://www.alcaldiabogota.gov.co/sisjur/normas/Norma1.jsp?i=6132" TargetMode="External"/><Relationship Id="rId132" Type="http://schemas.openxmlformats.org/officeDocument/2006/relationships/hyperlink" Target="http://www.alcaldiabogota.gov.co/sisjur/normas/Norma1.jsp?i=31241" TargetMode="External"/><Relationship Id="rId140" Type="http://schemas.openxmlformats.org/officeDocument/2006/relationships/hyperlink" Target="http://www.alcaldiabogota.gov.co/sisjur/normas/Norma1.jsp?i=5555" TargetMode="External"/><Relationship Id="rId145" Type="http://schemas.openxmlformats.org/officeDocument/2006/relationships/hyperlink" Target="http://www.alcaldiabogota.gov.co/sisjur/normas/Norma1.jsp?i=4830" TargetMode="External"/><Relationship Id="rId153" Type="http://schemas.openxmlformats.org/officeDocument/2006/relationships/hyperlink" Target="http://www.alcaldiabogota.gov.co/sisjur/normas/Norma1.jsp?i=1216" TargetMode="External"/><Relationship Id="rId1" Type="http://schemas.openxmlformats.org/officeDocument/2006/relationships/styles" Target="styles.xml"/><Relationship Id="rId6" Type="http://schemas.openxmlformats.org/officeDocument/2006/relationships/hyperlink" Target="http://www.alcaldiabogota.gov.co/sisjur/normas/Norma1.jsp?i=11648" TargetMode="External"/><Relationship Id="rId15" Type="http://schemas.openxmlformats.org/officeDocument/2006/relationships/hyperlink" Target="http://www.alcaldiabogota.gov.co/sisjur/normas/Norma1.jsp?i=2767" TargetMode="External"/><Relationship Id="rId23" Type="http://schemas.openxmlformats.org/officeDocument/2006/relationships/hyperlink" Target="http://www.alcaldiabogota.gov.co/sisjur/normas/Norma1.jsp?i=9966" TargetMode="External"/><Relationship Id="rId28" Type="http://schemas.openxmlformats.org/officeDocument/2006/relationships/hyperlink" Target="http://www.alcaldiabogota.gov.co/sisjur/normas/Norma1.jsp?i=292" TargetMode="External"/><Relationship Id="rId36" Type="http://schemas.openxmlformats.org/officeDocument/2006/relationships/hyperlink" Target="http://www.alcaldiabogota.gov.co/sisjur/normas/Norma1.jsp?i=5348" TargetMode="External"/><Relationship Id="rId49" Type="http://schemas.openxmlformats.org/officeDocument/2006/relationships/hyperlink" Target="http://www.alcaldiabogota.gov.co/sisjur/normas/Norma1.jsp?i=5233" TargetMode="External"/><Relationship Id="rId57" Type="http://schemas.openxmlformats.org/officeDocument/2006/relationships/hyperlink" Target="http://www.alcaldiabogota.gov.co/sisjur/normas/Norma1.jsp?i=16254" TargetMode="External"/><Relationship Id="rId106" Type="http://schemas.openxmlformats.org/officeDocument/2006/relationships/hyperlink" Target="http://www.alcaldiabogota.gov.co/sisjur/normas/Norma1.jsp?i=4168" TargetMode="External"/><Relationship Id="rId114" Type="http://schemas.openxmlformats.org/officeDocument/2006/relationships/hyperlink" Target="http://www.alcaldiabogota.gov.co/sisjur/normas/Norma1.jsp?i=11650" TargetMode="External"/><Relationship Id="rId119" Type="http://schemas.openxmlformats.org/officeDocument/2006/relationships/hyperlink" Target="http://www.alcaldiabogota.gov.co/sisjur/normas/Norma1.jsp?i=6780" TargetMode="External"/><Relationship Id="rId127" Type="http://schemas.openxmlformats.org/officeDocument/2006/relationships/hyperlink" Target="http://www.alcaldiabogota.gov.co/sisjur/normas/Norma1.jsp?i=28306" TargetMode="External"/><Relationship Id="rId10" Type="http://schemas.openxmlformats.org/officeDocument/2006/relationships/hyperlink" Target="http://www.alcaldiabogota.gov.co/sisjur/normas/Norma1.jsp?i=38664" TargetMode="External"/><Relationship Id="rId31" Type="http://schemas.openxmlformats.org/officeDocument/2006/relationships/hyperlink" Target="http://www.alcaldiabogota.gov.co/sisjur/normas/Norma1.jsp?i=28351" TargetMode="External"/><Relationship Id="rId44" Type="http://schemas.openxmlformats.org/officeDocument/2006/relationships/hyperlink" Target="http://www.alcaldiabogota.gov.co/sisjur/normas/Norma1.jsp?i=14769" TargetMode="External"/><Relationship Id="rId52" Type="http://schemas.openxmlformats.org/officeDocument/2006/relationships/hyperlink" Target="http://www.alcaldiabogota.gov.co/sisjur/normas/Norma1.jsp?i=28351" TargetMode="External"/><Relationship Id="rId60" Type="http://schemas.openxmlformats.org/officeDocument/2006/relationships/hyperlink" Target="http://www.alcaldiabogota.gov.co/sisjur/normas/Norma1.jsp?i=12913" TargetMode="External"/><Relationship Id="rId65" Type="http://schemas.openxmlformats.org/officeDocument/2006/relationships/hyperlink" Target="http://www.alcaldiabogota.gov.co/sisjur/normas/Norma1.jsp?i=12614" TargetMode="External"/><Relationship Id="rId73" Type="http://schemas.openxmlformats.org/officeDocument/2006/relationships/hyperlink" Target="http://www.alcaldiabogota.gov.co/sisjur/normas/Norma1.jsp?i=12609" TargetMode="External"/><Relationship Id="rId78" Type="http://schemas.openxmlformats.org/officeDocument/2006/relationships/hyperlink" Target="http://www.alcaldiabogota.gov.co/sisjur/normas/Norma1.jsp?i=5354" TargetMode="External"/><Relationship Id="rId81" Type="http://schemas.openxmlformats.org/officeDocument/2006/relationships/hyperlink" Target="http://www.alcaldiabogota.gov.co/sisjur/normas/Norma1.jsp?i=4454" TargetMode="External"/><Relationship Id="rId86" Type="http://schemas.openxmlformats.org/officeDocument/2006/relationships/hyperlink" Target="http://www.alcaldiabogota.gov.co/sisjur/normas/Norma1.jsp?i=28306" TargetMode="External"/><Relationship Id="rId94" Type="http://schemas.openxmlformats.org/officeDocument/2006/relationships/hyperlink" Target="http://www.alcaldiabogota.gov.co/sisjur/normas/Norma1.jsp?i=19980" TargetMode="External"/><Relationship Id="rId99" Type="http://schemas.openxmlformats.org/officeDocument/2006/relationships/hyperlink" Target="http://www.alcaldiabogota.gov.co/sisjur/normas/Norma1.jsp?i=15236" TargetMode="External"/><Relationship Id="rId101" Type="http://schemas.openxmlformats.org/officeDocument/2006/relationships/hyperlink" Target="http://calsegen01.alcaldiabogota.gov.co:7772/sisjur/normas/Norma1.jsp?i=25932" TargetMode="External"/><Relationship Id="rId122" Type="http://schemas.openxmlformats.org/officeDocument/2006/relationships/hyperlink" Target="http://www.alcaldiabogota.gov.co/sisjur/normas/Norma1.jsp?i=28306" TargetMode="External"/><Relationship Id="rId130" Type="http://schemas.openxmlformats.org/officeDocument/2006/relationships/hyperlink" Target="http://www.alcaldiabogota.gov.co/sisjur/normas/Norma1.jsp?i=14312" TargetMode="External"/><Relationship Id="rId135" Type="http://schemas.openxmlformats.org/officeDocument/2006/relationships/hyperlink" Target="http://www.alcaldiabogota.gov.co/sisjur/normas/Norma1.jsp?i=28286" TargetMode="External"/><Relationship Id="rId143" Type="http://schemas.openxmlformats.org/officeDocument/2006/relationships/hyperlink" Target="http://www.alcaldiabogota.gov.co/sisjur/normas/Norma1.jsp?i=8311" TargetMode="External"/><Relationship Id="rId148" Type="http://schemas.openxmlformats.org/officeDocument/2006/relationships/hyperlink" Target="http://www.alcaldiabogota.gov.co/sisjur/normas/Norma1.jsp?i=6202" TargetMode="External"/><Relationship Id="rId151" Type="http://schemas.openxmlformats.org/officeDocument/2006/relationships/hyperlink" Target="http://www.alcaldiabogota.gov.co/sisjur/normas/Norma1.jsp?i=274" TargetMode="External"/><Relationship Id="rId156" Type="http://schemas.openxmlformats.org/officeDocument/2006/relationships/fontTable" Target="fontTable.xml"/><Relationship Id="rId4" Type="http://schemas.openxmlformats.org/officeDocument/2006/relationships/hyperlink" Target="http://www.alcaldiabogota.gov.co/sisjur/normas/Norma1.jsp?i=4930" TargetMode="External"/><Relationship Id="rId9" Type="http://schemas.openxmlformats.org/officeDocument/2006/relationships/hyperlink" Target="http://www.alcaldiabogota.gov.co/sisjur/normas/Norma1.jsp?i=28750" TargetMode="External"/><Relationship Id="rId13" Type="http://schemas.openxmlformats.org/officeDocument/2006/relationships/hyperlink" Target="http://calsegen01.alcaldiabogota.gov.co:7772/sisjur/normas/Norma1.jsp?i=23615" TargetMode="External"/><Relationship Id="rId18" Type="http://schemas.openxmlformats.org/officeDocument/2006/relationships/hyperlink" Target="http://www.alcaldiabogota.gov.co/sisjur/normas/Norma1.jsp?i=5543" TargetMode="External"/><Relationship Id="rId39" Type="http://schemas.openxmlformats.org/officeDocument/2006/relationships/hyperlink" Target="http://www.alcaldiabogota.gov.co/sisjur/normas/Norma1.jsp?i=5348" TargetMode="External"/><Relationship Id="rId109" Type="http://schemas.openxmlformats.org/officeDocument/2006/relationships/hyperlink" Target="http://www.alcaldiabogota.gov.co/sisjur/normas/Norma1.jsp?i=11650" TargetMode="External"/><Relationship Id="rId34" Type="http://schemas.openxmlformats.org/officeDocument/2006/relationships/hyperlink" Target="http://www.alcaldiabogota.gov.co/sisjur/normas/Norma1.jsp?i=14817" TargetMode="External"/><Relationship Id="rId50" Type="http://schemas.openxmlformats.org/officeDocument/2006/relationships/hyperlink" Target="http://www.alcaldiabogota.gov.co/sisjur/normas/Norma1.jsp?i=288" TargetMode="External"/><Relationship Id="rId55" Type="http://schemas.openxmlformats.org/officeDocument/2006/relationships/hyperlink" Target="http://www.alcaldiabogota.gov.co/sisjur/normas/Norma1.jsp?i=" TargetMode="External"/><Relationship Id="rId76" Type="http://schemas.openxmlformats.org/officeDocument/2006/relationships/hyperlink" Target="http://www.alcaldiabogota.gov.co/sisjur/normas/Norma1.jsp?i=26965" TargetMode="External"/><Relationship Id="rId97" Type="http://schemas.openxmlformats.org/officeDocument/2006/relationships/hyperlink" Target="http://www.alcaldiabogota.gov.co/sisjur/normas/Norma1.jsp?i=5233" TargetMode="External"/><Relationship Id="rId104" Type="http://schemas.openxmlformats.org/officeDocument/2006/relationships/hyperlink" Target="http://www.alcaldiabogota.gov.co/sisjur/normas/Norma1.jsp?i=28306" TargetMode="External"/><Relationship Id="rId120" Type="http://schemas.openxmlformats.org/officeDocument/2006/relationships/hyperlink" Target="http://www.alcaldiabogota.gov.co/sisjur/normas/Norma1.jsp?i=4930" TargetMode="External"/><Relationship Id="rId125" Type="http://schemas.openxmlformats.org/officeDocument/2006/relationships/hyperlink" Target="http://www.alcaldiabogota.gov.co/sisjur/normas/Norma1.jsp?i=28306" TargetMode="External"/><Relationship Id="rId141" Type="http://schemas.openxmlformats.org/officeDocument/2006/relationships/hyperlink" Target="http://calsegen01.alcaldiabogota.gov.co:7772/sisjur/normas/Norma1.jsp?i=23615" TargetMode="External"/><Relationship Id="rId146" Type="http://schemas.openxmlformats.org/officeDocument/2006/relationships/hyperlink" Target="http://www.alcaldiabogota.gov.co/sisjur/normas/Norma1.jsp?i=" TargetMode="External"/><Relationship Id="rId7" Type="http://schemas.openxmlformats.org/officeDocument/2006/relationships/hyperlink" Target="http://www.alcaldiabogota.gov.co/sisjur/normas/Norma1.jsp?i=16906" TargetMode="External"/><Relationship Id="rId71" Type="http://schemas.openxmlformats.org/officeDocument/2006/relationships/hyperlink" Target="http://www.alcaldiabogota.gov.co/sisjur/normas/Norma1.jsp?i=5567" TargetMode="External"/><Relationship Id="rId92" Type="http://schemas.openxmlformats.org/officeDocument/2006/relationships/hyperlink" Target="http://www.alcaldiabogota.gov.co/sisjur/normas/Norma1.jsp?i=14125" TargetMode="External"/><Relationship Id="rId2" Type="http://schemas.openxmlformats.org/officeDocument/2006/relationships/settings" Target="settings.xml"/><Relationship Id="rId29" Type="http://schemas.openxmlformats.org/officeDocument/2006/relationships/hyperlink" Target="http://www.alcaldiabogota.gov.co/sisjur/normas/Norma1.jsp?i=16254" TargetMode="External"/><Relationship Id="rId24" Type="http://schemas.openxmlformats.org/officeDocument/2006/relationships/hyperlink" Target="http://www.alcaldiabogota.gov.co/sisjur/normas/Norma1.jsp?i=22417" TargetMode="External"/><Relationship Id="rId40" Type="http://schemas.openxmlformats.org/officeDocument/2006/relationships/hyperlink" Target="http://www.alcaldiabogota.gov.co/sisjur/normas/Norma1.jsp?i=34652" TargetMode="External"/><Relationship Id="rId45" Type="http://schemas.openxmlformats.org/officeDocument/2006/relationships/hyperlink" Target="http://www.alcaldiabogota.gov.co/sisjur/normas/Norma1.jsp?i=12609" TargetMode="External"/><Relationship Id="rId66" Type="http://schemas.openxmlformats.org/officeDocument/2006/relationships/hyperlink" Target="http://www.alcaldiabogota.gov.co/sisjur/normas/Norma1.jsp?i=12613" TargetMode="External"/><Relationship Id="rId87" Type="http://schemas.openxmlformats.org/officeDocument/2006/relationships/hyperlink" Target="http://www.alcaldiabogota.gov.co/sisjur/normas/Norma1.jsp?i=38661" TargetMode="External"/><Relationship Id="rId110" Type="http://schemas.openxmlformats.org/officeDocument/2006/relationships/hyperlink" Target="http://www.alcaldiabogota.gov.co/sisjur/normas/Norma1.jsp?i=274" TargetMode="External"/><Relationship Id="rId115" Type="http://schemas.openxmlformats.org/officeDocument/2006/relationships/hyperlink" Target="http://www.alcaldiabogota.gov.co/sisjur/normas/Norma1.jsp?i=4927" TargetMode="External"/><Relationship Id="rId131" Type="http://schemas.openxmlformats.org/officeDocument/2006/relationships/hyperlink" Target="http://www.alcaldiabogota.gov.co/sisjur/normas/Norma1.jsp?i=5555" TargetMode="External"/><Relationship Id="rId136" Type="http://schemas.openxmlformats.org/officeDocument/2006/relationships/hyperlink" Target="http://www.alcaldiabogota.gov.co/sisjur/normas/Norma1.jsp?i=15422" TargetMode="External"/><Relationship Id="rId157" Type="http://schemas.openxmlformats.org/officeDocument/2006/relationships/theme" Target="theme/theme1.xml"/><Relationship Id="rId61" Type="http://schemas.openxmlformats.org/officeDocument/2006/relationships/hyperlink" Target="http://www.alcaldiabogota.gov.co/sisjur/normas/Norma1.jsp?i=38908" TargetMode="External"/><Relationship Id="rId82" Type="http://schemas.openxmlformats.org/officeDocument/2006/relationships/hyperlink" Target="http://www.alcaldiabogota.gov.co/sisjur/normas/Norma1.jsp?i=5540" TargetMode="External"/><Relationship Id="rId152" Type="http://schemas.openxmlformats.org/officeDocument/2006/relationships/hyperlink" Target="http://www.alcaldiabogota.gov.co/sisjur/normas/Norma1.jsp?i=292" TargetMode="External"/><Relationship Id="rId19" Type="http://schemas.openxmlformats.org/officeDocument/2006/relationships/hyperlink" Target="http://www.alcaldiabogota.gov.co/sisjur/normas/Norma1.jsp?i=28306" TargetMode="External"/><Relationship Id="rId14" Type="http://schemas.openxmlformats.org/officeDocument/2006/relationships/hyperlink" Target="http://www.alcaldiabogota.gov.co/sisjur/normas/Norma1.jsp?i=4135" TargetMode="External"/><Relationship Id="rId30" Type="http://schemas.openxmlformats.org/officeDocument/2006/relationships/hyperlink" Target="http://www.alcaldiabogota.gov.co/sisjur/normas/Norma1.jsp?i=4714" TargetMode="External"/><Relationship Id="rId35" Type="http://schemas.openxmlformats.org/officeDocument/2006/relationships/hyperlink" Target="http://www.alcaldiabogota.gov.co/sisjur/normas/Norma1.jsp?i=34652" TargetMode="External"/><Relationship Id="rId56" Type="http://schemas.openxmlformats.org/officeDocument/2006/relationships/hyperlink" Target="http://www.alcaldiabogota.gov.co/sisjur/normas/Norma1.jsp?i=5567" TargetMode="External"/><Relationship Id="rId77" Type="http://schemas.openxmlformats.org/officeDocument/2006/relationships/hyperlink" Target="http://www.alcaldiabogota.gov.co/sisjur/normas/Norma1.jsp?i=14136" TargetMode="External"/><Relationship Id="rId100" Type="http://schemas.openxmlformats.org/officeDocument/2006/relationships/hyperlink" Target="http://www.alcaldiabogota.gov.co/sisjur/normas/Norma1.jsp?i=9876" TargetMode="External"/><Relationship Id="rId105" Type="http://schemas.openxmlformats.org/officeDocument/2006/relationships/hyperlink" Target="http://www.alcaldiabogota.gov.co/sisjur/normas/Norma1.jsp?i=5233" TargetMode="External"/><Relationship Id="rId126" Type="http://schemas.openxmlformats.org/officeDocument/2006/relationships/hyperlink" Target="http://www.alcaldiabogota.gov.co/sisjur/normas/Norma1.jsp?i=11172" TargetMode="External"/><Relationship Id="rId147" Type="http://schemas.openxmlformats.org/officeDocument/2006/relationships/hyperlink" Target="http://www.alcaldiabogota.gov.co/sisjur/normas/Norma1.jsp?i=28334" TargetMode="External"/><Relationship Id="rId8" Type="http://schemas.openxmlformats.org/officeDocument/2006/relationships/hyperlink" Target="http://www.alcaldiabogota.gov.co/sisjur/normas/Norma1.jsp?i=16906" TargetMode="External"/><Relationship Id="rId51" Type="http://schemas.openxmlformats.org/officeDocument/2006/relationships/hyperlink" Target="http://www.alcaldiabogota.gov.co/sisjur/normas/Norma1.jsp?i=6311" TargetMode="External"/><Relationship Id="rId72" Type="http://schemas.openxmlformats.org/officeDocument/2006/relationships/hyperlink" Target="http://www.alcaldiabogota.gov.co/sisjur/normas/Norma1.jsp?i=12609" TargetMode="External"/><Relationship Id="rId93" Type="http://schemas.openxmlformats.org/officeDocument/2006/relationships/hyperlink" Target="http://www.alcaldiabogota.gov.co/sisjur/normas/Norma1.jsp?i=4930" TargetMode="External"/><Relationship Id="rId98" Type="http://schemas.openxmlformats.org/officeDocument/2006/relationships/hyperlink" Target="http://www.alcaldiabogota.gov.co/sisjur/normas/Norma1.jsp?i=4927" TargetMode="External"/><Relationship Id="rId121" Type="http://schemas.openxmlformats.org/officeDocument/2006/relationships/hyperlink" Target="http://www.alcaldiabogota.gov.co/sisjur/normas/Norma1.jsp?i=6977" TargetMode="External"/><Relationship Id="rId142" Type="http://schemas.openxmlformats.org/officeDocument/2006/relationships/hyperlink" Target="http://www.alcaldiabogota.gov.co/sisjur/normas/Norma1.jsp?i=28306" TargetMode="External"/><Relationship Id="rId3" Type="http://schemas.openxmlformats.org/officeDocument/2006/relationships/webSettings" Target="webSettings.xml"/><Relationship Id="rId25" Type="http://schemas.openxmlformats.org/officeDocument/2006/relationships/hyperlink" Target="http://www.alcaldiabogota.gov.co/sisjur/normas/Norma1.jsp?i=14817" TargetMode="External"/><Relationship Id="rId46" Type="http://schemas.openxmlformats.org/officeDocument/2006/relationships/hyperlink" Target="http://www.alcaldiabogota.gov.co/sisjur/normas/Norma1.jsp?i=28306" TargetMode="External"/><Relationship Id="rId67" Type="http://schemas.openxmlformats.org/officeDocument/2006/relationships/hyperlink" Target="http://www.alcaldiabogota.gov.co/sisjur/normas/Norma1.jsp?i=9873" TargetMode="External"/><Relationship Id="rId116" Type="http://schemas.openxmlformats.org/officeDocument/2006/relationships/hyperlink" Target="http://www.alcaldiabogota.gov.co/sisjur/normas/Norma1.jsp?i=6302" TargetMode="External"/><Relationship Id="rId137" Type="http://schemas.openxmlformats.org/officeDocument/2006/relationships/hyperlink" Target="http://www.alcaldiabogota.gov.co/sisjur/normas/Norma1.jsp?i=62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31245</Words>
  <Characters>171848</Characters>
  <Application>Microsoft Office Word</Application>
  <DocSecurity>0</DocSecurity>
  <Lines>1432</Lines>
  <Paragraphs>405</Paragraphs>
  <ScaleCrop>false</ScaleCrop>
  <Company/>
  <LinksUpToDate>false</LinksUpToDate>
  <CharactersWithSpaces>202688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2010-07-13T17:53:00Z</dcterms:created>
  <dcterms:modified xsi:type="dcterms:W3CDTF">2010-07-13T17:55:00Z</dcterms:modified>
</cp:coreProperties>
</file>