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DD7418" w:rsidRPr="00DD7418">
        <w:trPr>
          <w:tblCellSpacing w:w="15" w:type="dxa"/>
          <w:hidden/>
        </w:trPr>
        <w:tc>
          <w:tcPr>
            <w:tcW w:w="0" w:type="auto"/>
            <w:vAlign w:val="center"/>
            <w:hideMark/>
          </w:tcPr>
          <w:p w:rsidR="00DD7418" w:rsidRPr="00DD7418" w:rsidRDefault="00DD7418" w:rsidP="00DD7418">
            <w:pPr>
              <w:pBdr>
                <w:bottom w:val="single" w:sz="6" w:space="1" w:color="auto"/>
              </w:pBdr>
              <w:spacing w:after="0"/>
              <w:jc w:val="center"/>
              <w:rPr>
                <w:rFonts w:ascii="Arial" w:eastAsia="Times New Roman" w:hAnsi="Arial" w:cs="Arial"/>
                <w:vanish/>
                <w:kern w:val="0"/>
                <w:sz w:val="16"/>
                <w:szCs w:val="16"/>
                <w:lang w:eastAsia="es-ES"/>
              </w:rPr>
            </w:pPr>
            <w:r w:rsidRPr="00DD7418">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380"/>
            </w:tblGrid>
            <w:tr w:rsidR="00DD7418" w:rsidRPr="00DD7418">
              <w:trPr>
                <w:tblCellSpacing w:w="0" w:type="dxa"/>
              </w:trPr>
              <w:tc>
                <w:tcPr>
                  <w:tcW w:w="0" w:type="auto"/>
                  <w:vAlign w:val="center"/>
                  <w:hideMark/>
                </w:tcPr>
                <w:p w:rsidR="00DD7418" w:rsidRPr="00DD7418" w:rsidRDefault="00B315A6"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85pt;height:18.15pt" o:ole="">
                        <v:imagedata r:id="rId4" o:title=""/>
                      </v:shape>
                      <w:control r:id="rId5" w:name="DefaultOcxName" w:shapeid="_x0000_i1028"/>
                    </w:object>
                  </w:r>
                </w:p>
              </w:tc>
            </w:tr>
          </w:tbl>
          <w:p w:rsidR="00DD7418" w:rsidRPr="00DD7418" w:rsidRDefault="00DD7418" w:rsidP="00DD7418">
            <w:pPr>
              <w:spacing w:after="0"/>
              <w:jc w:val="right"/>
              <w:rPr>
                <w:rFonts w:ascii="Georgia" w:eastAsia="Times New Roman" w:hAnsi="Georgia" w:cs="Times New Roman"/>
                <w:kern w:val="0"/>
                <w:szCs w:val="24"/>
                <w:lang w:eastAsia="es-ES"/>
              </w:rPr>
            </w:pPr>
          </w:p>
          <w:p w:rsidR="00DD7418" w:rsidRPr="00DD7418" w:rsidRDefault="00DD7418" w:rsidP="00DD7418">
            <w:pPr>
              <w:pBdr>
                <w:top w:val="single" w:sz="6" w:space="1" w:color="auto"/>
              </w:pBdr>
              <w:spacing w:after="0"/>
              <w:jc w:val="center"/>
              <w:rPr>
                <w:rFonts w:ascii="Arial" w:eastAsia="Times New Roman" w:hAnsi="Arial" w:cs="Arial"/>
                <w:vanish/>
                <w:kern w:val="0"/>
                <w:sz w:val="16"/>
                <w:szCs w:val="16"/>
                <w:lang w:eastAsia="es-ES"/>
              </w:rPr>
            </w:pPr>
            <w:r w:rsidRPr="00DD7418">
              <w:rPr>
                <w:rFonts w:ascii="Arial" w:eastAsia="Times New Roman" w:hAnsi="Arial" w:cs="Arial"/>
                <w:vanish/>
                <w:kern w:val="0"/>
                <w:sz w:val="16"/>
                <w:szCs w:val="16"/>
                <w:lang w:eastAsia="es-ES"/>
              </w:rPr>
              <w:t>Final del formulario</w:t>
            </w:r>
          </w:p>
        </w:tc>
      </w:tr>
    </w:tbl>
    <w:p w:rsidR="00DD7418" w:rsidRPr="00DD7418" w:rsidRDefault="00DD7418" w:rsidP="00DD7418">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DD7418" w:rsidRPr="00DD7418">
        <w:trPr>
          <w:tblCellSpacing w:w="15" w:type="dxa"/>
        </w:trPr>
        <w:tc>
          <w:tcPr>
            <w:tcW w:w="0" w:type="auto"/>
            <w:vAlign w:val="center"/>
            <w:hideMark/>
          </w:tcPr>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b/>
                <w:bCs/>
                <w:color w:val="808080"/>
                <w:kern w:val="0"/>
                <w:sz w:val="28"/>
                <w:szCs w:val="28"/>
                <w:lang w:eastAsia="es-ES"/>
              </w:rPr>
              <w:t>LEY 1382 DE 2010</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(febrero 9)</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Diario Oficial No. 47.618 de 9 de febrero de 2010</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CONGRESO DE LA REPÚBLICA</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Por la cual se modifica la Ley </w:t>
            </w:r>
            <w:hyperlink r:id="rId6" w:anchor="1" w:tgtFrame="_blank" w:history="1">
              <w:r w:rsidRPr="00DD7418">
                <w:rPr>
                  <w:rFonts w:ascii="Georgia" w:eastAsia="Times New Roman" w:hAnsi="Georgia" w:cs="Times New Roman"/>
                  <w:color w:val="000000"/>
                  <w:kern w:val="0"/>
                  <w:szCs w:val="24"/>
                  <w:u w:val="single"/>
                  <w:lang w:eastAsia="es-ES"/>
                </w:rPr>
                <w:t>685</w:t>
              </w:r>
            </w:hyperlink>
            <w:r w:rsidRPr="00DD7418">
              <w:rPr>
                <w:rFonts w:ascii="Georgia" w:eastAsia="Times New Roman" w:hAnsi="Georgia" w:cs="Times New Roman"/>
                <w:kern w:val="0"/>
                <w:szCs w:val="24"/>
                <w:lang w:eastAsia="es-ES"/>
              </w:rPr>
              <w:t xml:space="preserve"> de 2001 Código de Minas.</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EL CONGRESO DE COLOMBIA</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DECRETA:</w:t>
            </w:r>
          </w:p>
          <w:p w:rsidR="00DD7418" w:rsidRPr="00DD7418" w:rsidRDefault="00DD7418" w:rsidP="00DD7418">
            <w:pPr>
              <w:spacing w:after="0"/>
              <w:rPr>
                <w:rFonts w:ascii="Georgia" w:eastAsia="Times New Roman" w:hAnsi="Georgia" w:cs="Times New Roman"/>
                <w:kern w:val="0"/>
                <w:szCs w:val="24"/>
                <w:lang w:eastAsia="es-ES"/>
              </w:rPr>
            </w:pPr>
            <w:bookmarkStart w:id="0" w:name="1"/>
            <w:bookmarkEnd w:id="0"/>
            <w:r w:rsidRPr="00DD7418">
              <w:rPr>
                <w:rFonts w:ascii="Georgia" w:eastAsia="Times New Roman" w:hAnsi="Georgia" w:cs="Times New Roman"/>
                <w:color w:val="000080"/>
                <w:kern w:val="0"/>
                <w:szCs w:val="24"/>
                <w:lang w:eastAsia="es-ES"/>
              </w:rPr>
              <w:t>ARTÍCULO 1o.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7" w:anchor="16" w:tgtFrame="_blank" w:history="1">
              <w:r w:rsidRPr="00DD7418">
                <w:rPr>
                  <w:rFonts w:ascii="Georgia" w:eastAsia="Times New Roman" w:hAnsi="Georgia" w:cs="Times New Roman"/>
                  <w:color w:val="000000"/>
                  <w:kern w:val="0"/>
                  <w:szCs w:val="24"/>
                  <w:u w:val="single"/>
                  <w:lang w:eastAsia="es-ES"/>
                </w:rPr>
                <w:t>16</w:t>
              </w:r>
            </w:hyperlink>
            <w:r w:rsidRPr="00DD7418">
              <w:rPr>
                <w:rFonts w:ascii="Georgia" w:eastAsia="Times New Roman" w:hAnsi="Georgia" w:cs="Times New Roman"/>
                <w:kern w:val="0"/>
                <w:szCs w:val="24"/>
                <w:lang w:eastAsia="es-ES"/>
              </w:rPr>
              <w:t xml:space="preserve"> de la Ley 685 de 2001 Código de Minas con el siguiente parágrafo.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1o.</w:t>
            </w:r>
            <w:r w:rsidRPr="00DD7418">
              <w:rPr>
                <w:rFonts w:ascii="Georgia" w:eastAsia="Times New Roman" w:hAnsi="Georgia" w:cs="Times New Roman"/>
                <w:kern w:val="0"/>
                <w:szCs w:val="24"/>
                <w:lang w:eastAsia="es-ES"/>
              </w:rPr>
              <w:t xml:space="preserve"> Los solicitantes de propuesta de contrato de concesión deberán señalar si dentro del área solicitada existe algún tipo de explotación minera, indicando su ubicación y metodología utilizada para conocer la existencia o no de dicha minería. La Autoridad Minera en un plazo no mayor a tres (3) meses deberá certificar, si la hubiere, el tipo de minería existente.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hubiere minería tradicional, se dará aplicación a lo previsto en los artículos </w:t>
            </w:r>
            <w:hyperlink r:id="rId8" w:anchor="31" w:tgtFrame="_blank" w:history="1">
              <w:r w:rsidRPr="00DD7418">
                <w:rPr>
                  <w:rFonts w:ascii="Georgia" w:eastAsia="Times New Roman" w:hAnsi="Georgia" w:cs="Times New Roman"/>
                  <w:color w:val="000000"/>
                  <w:kern w:val="0"/>
                  <w:szCs w:val="24"/>
                  <w:u w:val="single"/>
                  <w:lang w:eastAsia="es-ES"/>
                </w:rPr>
                <w:t>31</w:t>
              </w:r>
            </w:hyperlink>
            <w:r w:rsidRPr="00DD7418">
              <w:rPr>
                <w:rFonts w:ascii="Georgia" w:eastAsia="Times New Roman" w:hAnsi="Georgia" w:cs="Times New Roman"/>
                <w:kern w:val="0"/>
                <w:szCs w:val="24"/>
                <w:lang w:eastAsia="es-ES"/>
              </w:rPr>
              <w:t xml:space="preserve"> y </w:t>
            </w:r>
            <w:hyperlink r:id="rId9" w:anchor="248" w:tgtFrame="_blank" w:history="1">
              <w:r w:rsidRPr="00DD7418">
                <w:rPr>
                  <w:rFonts w:ascii="Georgia" w:eastAsia="Times New Roman" w:hAnsi="Georgia" w:cs="Times New Roman"/>
                  <w:color w:val="000000"/>
                  <w:kern w:val="0"/>
                  <w:szCs w:val="24"/>
                  <w:u w:val="single"/>
                  <w:lang w:eastAsia="es-ES"/>
                </w:rPr>
                <w:t>248</w:t>
              </w:r>
            </w:hyperlink>
            <w:r w:rsidRPr="00DD7418">
              <w:rPr>
                <w:rFonts w:ascii="Georgia" w:eastAsia="Times New Roman" w:hAnsi="Georgia" w:cs="Times New Roman"/>
                <w:kern w:val="0"/>
                <w:szCs w:val="24"/>
                <w:lang w:eastAsia="es-ES"/>
              </w:rPr>
              <w:t xml:space="preserve"> y las demás disposiciones aplicables del Código de Minas y en su defecto a poner en conocimiento de las demás autoridades competentes de las Ramas Ejecutiva y Judicial para que se adelanten las acciones administrativas y penales previstas en los artículos </w:t>
            </w:r>
            <w:hyperlink r:id="rId10" w:anchor="159" w:tgtFrame="_blank" w:history="1">
              <w:r w:rsidRPr="00DD7418">
                <w:rPr>
                  <w:rFonts w:ascii="Georgia" w:eastAsia="Times New Roman" w:hAnsi="Georgia" w:cs="Times New Roman"/>
                  <w:color w:val="000000"/>
                  <w:kern w:val="0"/>
                  <w:szCs w:val="24"/>
                  <w:u w:val="single"/>
                  <w:lang w:eastAsia="es-ES"/>
                </w:rPr>
                <w:t>159</w:t>
              </w:r>
            </w:hyperlink>
            <w:r w:rsidRPr="00DD7418">
              <w:rPr>
                <w:rFonts w:ascii="Georgia" w:eastAsia="Times New Roman" w:hAnsi="Georgia" w:cs="Times New Roman"/>
                <w:kern w:val="0"/>
                <w:szCs w:val="24"/>
                <w:lang w:eastAsia="es-ES"/>
              </w:rPr>
              <w:t xml:space="preserve"> y </w:t>
            </w:r>
            <w:hyperlink r:id="rId11" w:anchor="164" w:tgtFrame="_blank" w:history="1">
              <w:r w:rsidRPr="00DD7418">
                <w:rPr>
                  <w:rFonts w:ascii="Georgia" w:eastAsia="Times New Roman" w:hAnsi="Georgia" w:cs="Times New Roman"/>
                  <w:color w:val="000000"/>
                  <w:kern w:val="0"/>
                  <w:szCs w:val="24"/>
                  <w:u w:val="single"/>
                  <w:lang w:eastAsia="es-ES"/>
                </w:rPr>
                <w:t>164</w:t>
              </w:r>
            </w:hyperlink>
            <w:r w:rsidRPr="00DD7418">
              <w:rPr>
                <w:rFonts w:ascii="Georgia" w:eastAsia="Times New Roman" w:hAnsi="Georgia" w:cs="Times New Roman"/>
                <w:kern w:val="0"/>
                <w:szCs w:val="24"/>
                <w:lang w:eastAsia="es-ES"/>
              </w:rPr>
              <w:t xml:space="preserve"> del Código de Minas y las demás disposiciones aplicables del Código Penal.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caso que el solicitante de contrato de concesión no informe sobre la existencia de minería, dará lugar al rechazo de la solicitud, o multa en el caso de contar con contrato de concesión, si la Autoridad Minera detecta que existe minería y que el concesionario no ha procedido, en el último caso, de acuerdo con los artículos </w:t>
            </w:r>
            <w:hyperlink r:id="rId12" w:anchor="306" w:tgtFrame="_blank" w:history="1">
              <w:r w:rsidRPr="00DD7418">
                <w:rPr>
                  <w:rFonts w:ascii="Georgia" w:eastAsia="Times New Roman" w:hAnsi="Georgia" w:cs="Times New Roman"/>
                  <w:color w:val="000000"/>
                  <w:kern w:val="0"/>
                  <w:szCs w:val="24"/>
                  <w:u w:val="single"/>
                  <w:lang w:eastAsia="es-ES"/>
                </w:rPr>
                <w:t>306</w:t>
              </w:r>
            </w:hyperlink>
            <w:r w:rsidRPr="00DD7418">
              <w:rPr>
                <w:rFonts w:ascii="Georgia" w:eastAsia="Times New Roman" w:hAnsi="Georgia" w:cs="Times New Roman"/>
                <w:kern w:val="0"/>
                <w:szCs w:val="24"/>
                <w:lang w:eastAsia="es-ES"/>
              </w:rPr>
              <w:t xml:space="preserve">, </w:t>
            </w:r>
            <w:hyperlink r:id="rId13" w:anchor="307" w:tgtFrame="_blank" w:history="1">
              <w:r w:rsidRPr="00DD7418">
                <w:rPr>
                  <w:rFonts w:ascii="Georgia" w:eastAsia="Times New Roman" w:hAnsi="Georgia" w:cs="Times New Roman"/>
                  <w:color w:val="000000"/>
                  <w:kern w:val="0"/>
                  <w:szCs w:val="24"/>
                  <w:u w:val="single"/>
                  <w:lang w:eastAsia="es-ES"/>
                </w:rPr>
                <w:t>307</w:t>
              </w:r>
            </w:hyperlink>
            <w:r w:rsidRPr="00DD7418">
              <w:rPr>
                <w:rFonts w:ascii="Georgia" w:eastAsia="Times New Roman" w:hAnsi="Georgia" w:cs="Times New Roman"/>
                <w:kern w:val="0"/>
                <w:szCs w:val="24"/>
                <w:lang w:eastAsia="es-ES"/>
              </w:rPr>
              <w:t xml:space="preserve"> y siguientes del Código de Minas.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De existir minería tradicional constatada por la Autoridad Minera y de no haber sido informada por el solicitante y encontrándose en ejecución el contrato de concesión, se suspenderá el contrato por el término de seis meses para el área en discusión, dentro de los cuales las partes procederán a hacer acuerdos. De no llegar a acuerdos se acudirá a mecanismos de arbitramiento técnico previsto en el artículo </w:t>
            </w:r>
            <w:hyperlink r:id="rId14" w:anchor="294" w:tgtFrame="_blank" w:history="1">
              <w:r w:rsidRPr="00DD7418">
                <w:rPr>
                  <w:rFonts w:ascii="Georgia" w:eastAsia="Times New Roman" w:hAnsi="Georgia" w:cs="Times New Roman"/>
                  <w:color w:val="000000"/>
                  <w:kern w:val="0"/>
                  <w:szCs w:val="24"/>
                  <w:u w:val="single"/>
                  <w:lang w:eastAsia="es-ES"/>
                </w:rPr>
                <w:t>294</w:t>
              </w:r>
            </w:hyperlink>
            <w:r w:rsidRPr="00DD7418">
              <w:rPr>
                <w:rFonts w:ascii="Georgia" w:eastAsia="Times New Roman" w:hAnsi="Georgia" w:cs="Times New Roman"/>
                <w:kern w:val="0"/>
                <w:szCs w:val="24"/>
                <w:lang w:eastAsia="es-ES"/>
              </w:rPr>
              <w:t xml:space="preserve"> del presente código, cuyos costos serán a cargo de las partes. El tribunal de arbitramiento definirá cuál es el mejor acuerdo que será de obligatorio cumplimiento.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Se entiende por minería tradicional aquellas que realizan personas o grupos de personas o comunidades que exploten minas de propiedad estatal sin título inscrito en el Registro Minero Nacional y que acrediten que los trabajos mineros se vienen adelantando en forma continua durante cinco (5) años, a través de documentación comercial y técnica, y una existencia mínima de diez (10) años anteriores a la vigencia de esta ley.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2o.</w:t>
            </w:r>
            <w:r w:rsidRPr="00DD7418">
              <w:rPr>
                <w:rFonts w:ascii="Georgia" w:eastAsia="Times New Roman" w:hAnsi="Georgia" w:cs="Times New Roman"/>
                <w:kern w:val="0"/>
                <w:szCs w:val="24"/>
                <w:lang w:eastAsia="es-ES"/>
              </w:rPr>
              <w:t xml:space="preserve"> El tiempo máximo para que la autoridad minera resuelva la solicitud de contrato de concesión será de ciento ochenta días (180) calendarios, entendidos estos como aquellos atribuibles a la institucionalidad minera. En caso de incumplimiento, dicha mora será causal de mala conducta para el funcionario responsable. </w:t>
            </w:r>
          </w:p>
          <w:p w:rsidR="00DD7418" w:rsidRPr="00DD7418" w:rsidRDefault="00DD7418" w:rsidP="00DD7418">
            <w:pPr>
              <w:spacing w:after="0"/>
              <w:rPr>
                <w:rFonts w:ascii="Georgia" w:eastAsia="Times New Roman" w:hAnsi="Georgia" w:cs="Times New Roman"/>
                <w:kern w:val="0"/>
                <w:szCs w:val="24"/>
                <w:lang w:eastAsia="es-ES"/>
              </w:rPr>
            </w:pPr>
            <w:bookmarkStart w:id="1" w:name="2"/>
            <w:bookmarkEnd w:id="1"/>
            <w:r w:rsidRPr="00DD7418">
              <w:rPr>
                <w:rFonts w:ascii="Georgia" w:eastAsia="Times New Roman" w:hAnsi="Georgia" w:cs="Times New Roman"/>
                <w:color w:val="000080"/>
                <w:kern w:val="0"/>
                <w:szCs w:val="24"/>
                <w:lang w:eastAsia="es-ES"/>
              </w:rPr>
              <w:t>ARTÍCULO 2o.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al artículo </w:t>
            </w:r>
            <w:hyperlink r:id="rId15" w:anchor="31" w:tgtFrame="_blank" w:history="1">
              <w:r w:rsidRPr="00DD7418">
                <w:rPr>
                  <w:rFonts w:ascii="Georgia" w:eastAsia="Times New Roman" w:hAnsi="Georgia" w:cs="Times New Roman"/>
                  <w:color w:val="000000"/>
                  <w:kern w:val="0"/>
                  <w:szCs w:val="24"/>
                  <w:u w:val="single"/>
                  <w:lang w:eastAsia="es-ES"/>
                </w:rPr>
                <w:t>31</w:t>
              </w:r>
            </w:hyperlink>
            <w:r w:rsidRPr="00DD7418">
              <w:rPr>
                <w:rFonts w:ascii="Georgia" w:eastAsia="Times New Roman" w:hAnsi="Georgia" w:cs="Times New Roman"/>
                <w:kern w:val="0"/>
                <w:szCs w:val="24"/>
                <w:lang w:eastAsia="es-ES"/>
              </w:rPr>
              <w:t xml:space="preserve"> de la Ley 685 de 2001, Código de Minas, con los siguientes incisos: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también podrá delimitar otras áreas especiales que se encuentren libres, sobre las cuales, de conformidad con la información </w:t>
            </w:r>
            <w:r w:rsidRPr="00DD7418">
              <w:rPr>
                <w:rFonts w:ascii="Georgia" w:eastAsia="Times New Roman" w:hAnsi="Georgia" w:cs="Times New Roman"/>
                <w:kern w:val="0"/>
                <w:szCs w:val="24"/>
                <w:lang w:eastAsia="es-ES"/>
              </w:rPr>
              <w:lastRenderedPageBreak/>
              <w:t xml:space="preserve">geológica existente, se puede adelantar un proyecto minero de gran importancia para el país, con el objeto de otorgarlas en contrato de concesión a través de un proceso de selección objetiva, a quien ofrezca mejores condiciones técnicas, económicas, sociales y ambientales para el aprovechamiento del recurso. Dentro de estos procesos la Autoridad Minera establecerá las contraprestaciones económicas, además de las regalías previstas por la ley, que los proponentes deban ofrecer. Las áreas que no hubieren sido otorgadas dentro del término de tres (3) años contados a partir de la delimitación del área, quedarán libres para ser otorgadas bajo el régimen de concesión regulado por este Código. La Autoridad Minera señalará el procedimiento general, así como las condiciones y requisitos para escoger al titular minero en cada caso.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a través de los medios de comunicación hablado y escrito informará a los interesados sobre las concesiones a licitar de que habla el presente artículo. </w:t>
            </w:r>
          </w:p>
          <w:p w:rsidR="00DD7418" w:rsidRPr="00DD7418" w:rsidRDefault="00DD7418" w:rsidP="00DD7418">
            <w:pPr>
              <w:spacing w:after="0"/>
              <w:rPr>
                <w:rFonts w:ascii="Georgia" w:eastAsia="Times New Roman" w:hAnsi="Georgia" w:cs="Times New Roman"/>
                <w:kern w:val="0"/>
                <w:szCs w:val="24"/>
                <w:lang w:eastAsia="es-ES"/>
              </w:rPr>
            </w:pPr>
            <w:proofErr w:type="spellStart"/>
            <w:r w:rsidRPr="00DD7418">
              <w:rPr>
                <w:rFonts w:ascii="Georgia" w:eastAsia="Times New Roman" w:hAnsi="Georgia" w:cs="Times New Roman"/>
                <w:kern w:val="0"/>
                <w:szCs w:val="24"/>
                <w:lang w:eastAsia="es-ES"/>
              </w:rPr>
              <w:t>Ingeominas</w:t>
            </w:r>
            <w:proofErr w:type="spellEnd"/>
            <w:r w:rsidRPr="00DD7418">
              <w:rPr>
                <w:rFonts w:ascii="Georgia" w:eastAsia="Times New Roman" w:hAnsi="Georgia" w:cs="Times New Roman"/>
                <w:kern w:val="0"/>
                <w:szCs w:val="24"/>
                <w:lang w:eastAsia="es-ES"/>
              </w:rPr>
              <w:t xml:space="preserve"> como Autoridad Geológica en minería podrá delimitar áreas especiales, que se encuentren libres sobre las cuales no se recibirán ni se otorgarán títulos mineros, pero se respetarán los existentes, con el fin de que se adelanten procesos para entregar el área hasta por cinco (5) años a quien ofrezca un mejor programa de evaluación técnica geológica de dicha área bajo los términos y condiciones que establezca la Autoridad Minera. Quien obtenga un contrato de Evaluación Técnica una vez terminado, tiene la primera opción para contratar con la Autoridad Minera el área bajo contrato de concesión en los términos que prevé este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Las empresas que hayan sido objeto de incumplimiento de obligaciones del contrato original, declarado el incumplimiento por la Autoridad Minera, no tendrán la capacidad para competir en los contratos mineros, de que trata este artículo.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delimitación de la que habla el presente artículo será reglamentada de manera previa por la Autoridad Minera. </w:t>
            </w:r>
          </w:p>
          <w:p w:rsidR="00DD7418" w:rsidRPr="007A584B" w:rsidRDefault="00DD7418" w:rsidP="00DD7418">
            <w:pPr>
              <w:spacing w:after="0"/>
              <w:rPr>
                <w:rFonts w:ascii="Georgia" w:eastAsia="Times New Roman" w:hAnsi="Georgia" w:cs="Times New Roman"/>
                <w:kern w:val="0"/>
                <w:szCs w:val="24"/>
                <w:highlight w:val="green"/>
                <w:lang w:eastAsia="es-ES"/>
              </w:rPr>
            </w:pPr>
            <w:bookmarkStart w:id="2" w:name="3"/>
            <w:bookmarkEnd w:id="2"/>
            <w:r w:rsidRPr="007A584B">
              <w:rPr>
                <w:rFonts w:ascii="Georgia" w:eastAsia="Times New Roman" w:hAnsi="Georgia" w:cs="Times New Roman"/>
                <w:color w:val="000080"/>
                <w:kern w:val="0"/>
                <w:szCs w:val="24"/>
                <w:highlight w:val="green"/>
                <w:lang w:eastAsia="es-ES"/>
              </w:rPr>
              <w:t>ARTÍCULO 3o.</w:t>
            </w:r>
            <w:r w:rsidRPr="007A584B">
              <w:rPr>
                <w:rFonts w:ascii="Georgia" w:eastAsia="Times New Roman" w:hAnsi="Georgia" w:cs="Times New Roman"/>
                <w:kern w:val="0"/>
                <w:szCs w:val="24"/>
                <w:highlight w:val="green"/>
                <w:lang w:eastAsia="es-ES"/>
              </w:rPr>
              <w:t xml:space="preserve"> El artículo </w:t>
            </w:r>
            <w:hyperlink r:id="rId16" w:anchor="34" w:tgtFrame="_blank" w:history="1">
              <w:r w:rsidRPr="007A584B">
                <w:rPr>
                  <w:rFonts w:ascii="Georgia" w:eastAsia="Times New Roman" w:hAnsi="Georgia" w:cs="Times New Roman"/>
                  <w:color w:val="000000"/>
                  <w:kern w:val="0"/>
                  <w:szCs w:val="24"/>
                  <w:highlight w:val="green"/>
                  <w:u w:val="single"/>
                  <w:lang w:eastAsia="es-ES"/>
                </w:rPr>
                <w:t>34</w:t>
              </w:r>
            </w:hyperlink>
            <w:r w:rsidRPr="007A584B">
              <w:rPr>
                <w:rFonts w:ascii="Georgia" w:eastAsia="Times New Roman" w:hAnsi="Georgia" w:cs="Times New Roman"/>
                <w:kern w:val="0"/>
                <w:szCs w:val="24"/>
                <w:highlight w:val="green"/>
                <w:lang w:eastAsia="es-ES"/>
              </w:rPr>
              <w:t xml:space="preserve"> de la Ley 685 de 2001 quedará así: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kern w:val="0"/>
                <w:szCs w:val="24"/>
                <w:highlight w:val="green"/>
                <w:lang w:eastAsia="es-ES"/>
              </w:rPr>
              <w:t xml:space="preserve">Artículo </w:t>
            </w:r>
            <w:hyperlink r:id="rId17" w:anchor="34" w:tgtFrame="_blank" w:history="1">
              <w:r w:rsidRPr="007A584B">
                <w:rPr>
                  <w:rFonts w:ascii="Georgia" w:eastAsia="Times New Roman" w:hAnsi="Georgia" w:cs="Times New Roman"/>
                  <w:color w:val="000000"/>
                  <w:kern w:val="0"/>
                  <w:szCs w:val="24"/>
                  <w:highlight w:val="green"/>
                  <w:u w:val="single"/>
                  <w:lang w:eastAsia="es-ES"/>
                </w:rPr>
                <w:t>34</w:t>
              </w:r>
            </w:hyperlink>
            <w:r w:rsidRPr="007A584B">
              <w:rPr>
                <w:rFonts w:ascii="Georgia" w:eastAsia="Times New Roman" w:hAnsi="Georgia" w:cs="Times New Roman"/>
                <w:kern w:val="0"/>
                <w:szCs w:val="24"/>
                <w:highlight w:val="green"/>
                <w:lang w:eastAsia="es-ES"/>
              </w:rPr>
              <w:t xml:space="preserve">. </w:t>
            </w:r>
            <w:r w:rsidRPr="007A584B">
              <w:rPr>
                <w:rFonts w:ascii="Georgia" w:eastAsia="Times New Roman" w:hAnsi="Georgia" w:cs="Times New Roman"/>
                <w:i/>
                <w:iCs/>
                <w:kern w:val="0"/>
                <w:szCs w:val="24"/>
                <w:highlight w:val="green"/>
                <w:lang w:eastAsia="es-ES"/>
              </w:rPr>
              <w:t xml:space="preserve">Zonas excluibles de la minería. </w:t>
            </w:r>
            <w:r w:rsidRPr="007A584B">
              <w:rPr>
                <w:rFonts w:ascii="Georgia" w:eastAsia="Times New Roman" w:hAnsi="Georgia" w:cs="Times New Roman"/>
                <w:kern w:val="0"/>
                <w:szCs w:val="24"/>
                <w:highlight w:val="green"/>
                <w:lang w:eastAsia="es-ES"/>
              </w:rPr>
              <w:t xml:space="preserve">No podrán ejecutarse trabajos y obras de exploración y explotación mineras en zonas declaradas y delimitadas conforme a la normatividad vigente como de protección y desarrollo de los recursos naturales renovables o del ambiente.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kern w:val="0"/>
                <w:szCs w:val="24"/>
                <w:highlight w:val="green"/>
                <w:lang w:eastAsia="es-ES"/>
              </w:rPr>
              <w:t xml:space="preserve">Las zonas de exclusión mencionadas serán las que han sido constituidas y las que se constituyan conforme a las disposiciones vigentes, como áreas que integran el sistema de parques nacionales naturales, parques naturales de carácter regional, zonas de reserva forestal protectora y demás zonas de reserva forestal, ecosistemas de páramo y los humedales designados dentro de la lista de importancia internacional de la Convención </w:t>
            </w:r>
            <w:proofErr w:type="spellStart"/>
            <w:r w:rsidRPr="007A584B">
              <w:rPr>
                <w:rFonts w:ascii="Georgia" w:eastAsia="Times New Roman" w:hAnsi="Georgia" w:cs="Times New Roman"/>
                <w:kern w:val="0"/>
                <w:szCs w:val="24"/>
                <w:highlight w:val="green"/>
                <w:lang w:eastAsia="es-ES"/>
              </w:rPr>
              <w:t>Ramsar</w:t>
            </w:r>
            <w:proofErr w:type="spellEnd"/>
            <w:r w:rsidRPr="007A584B">
              <w:rPr>
                <w:rFonts w:ascii="Georgia" w:eastAsia="Times New Roman" w:hAnsi="Georgia" w:cs="Times New Roman"/>
                <w:kern w:val="0"/>
                <w:szCs w:val="24"/>
                <w:highlight w:val="green"/>
                <w:lang w:eastAsia="es-ES"/>
              </w:rPr>
              <w:t xml:space="preserve">. Estas zonas para producir estos efectos, deberán ser delimitadas geográficamente por la autoridad ambiental con base en estudios técnicos, sociales y ambientales.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kern w:val="0"/>
                <w:szCs w:val="24"/>
                <w:highlight w:val="green"/>
                <w:lang w:eastAsia="es-ES"/>
              </w:rPr>
              <w:t xml:space="preserve">Los ecosistemas de páramo se identificarán de conformidad con la información cartográfica proporcionada por el Instituto de Investigación </w:t>
            </w:r>
            <w:proofErr w:type="spellStart"/>
            <w:r w:rsidRPr="007A584B">
              <w:rPr>
                <w:rFonts w:ascii="Georgia" w:eastAsia="Times New Roman" w:hAnsi="Georgia" w:cs="Times New Roman"/>
                <w:kern w:val="0"/>
                <w:szCs w:val="24"/>
                <w:highlight w:val="green"/>
                <w:lang w:eastAsia="es-ES"/>
              </w:rPr>
              <w:t>Alexánder</w:t>
            </w:r>
            <w:proofErr w:type="spellEnd"/>
            <w:r w:rsidRPr="007A584B">
              <w:rPr>
                <w:rFonts w:ascii="Georgia" w:eastAsia="Times New Roman" w:hAnsi="Georgia" w:cs="Times New Roman"/>
                <w:kern w:val="0"/>
                <w:szCs w:val="24"/>
                <w:highlight w:val="green"/>
                <w:lang w:eastAsia="es-ES"/>
              </w:rPr>
              <w:t xml:space="preserve"> Von Humboldt.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kern w:val="0"/>
                <w:szCs w:val="24"/>
                <w:highlight w:val="green"/>
                <w:lang w:eastAsia="es-ES"/>
              </w:rPr>
              <w:t xml:space="preserve">No obstante lo anterior, las áreas de reserva forestal creadas por la Ley 2ª de 1959 y las áreas de reserva forestales regionales, podrán ser sustraídas por la autoridad ambiental competente. La autoridad minera al otorgar el título minero deberá informar al concesionario que se encuentra en área de reserva forestal y por ende no podrá iniciar las actividades mineras hasta tanto la Autoridad Ambiental haya sustraído el área. Para este efecto, el concesionario </w:t>
            </w:r>
            <w:r w:rsidRPr="007A584B">
              <w:rPr>
                <w:rFonts w:ascii="Georgia" w:eastAsia="Times New Roman" w:hAnsi="Georgia" w:cs="Times New Roman"/>
                <w:kern w:val="0"/>
                <w:szCs w:val="24"/>
                <w:highlight w:val="green"/>
                <w:lang w:eastAsia="es-ES"/>
              </w:rPr>
              <w:lastRenderedPageBreak/>
              <w:t xml:space="preserve">minero deberá presentar los estudios que demuestren la adecuada coexistencia de las actividades mineras con los objetivos del área forestal.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kern w:val="0"/>
                <w:szCs w:val="24"/>
                <w:highlight w:val="green"/>
                <w:lang w:eastAsia="es-ES"/>
              </w:rPr>
              <w:t xml:space="preserve">Efectuada la sustracción, la autoridad minera en concordancia con las determinaciones ambientales establecidas, fijará las condiciones para que las actividades de exploración y explotación propuestas se desarrollen en forma restringida o sólo por determinados métodos y sistemas, de tal forma que no afecten los objetivos del área de reserva forestal no sustraída. </w:t>
            </w:r>
          </w:p>
          <w:p w:rsidR="00DD7418" w:rsidRPr="00DD7418" w:rsidRDefault="00DD7418" w:rsidP="00DD7418">
            <w:pPr>
              <w:spacing w:after="0"/>
              <w:rPr>
                <w:rFonts w:ascii="Georgia" w:eastAsia="Times New Roman" w:hAnsi="Georgia" w:cs="Times New Roman"/>
                <w:kern w:val="0"/>
                <w:szCs w:val="24"/>
                <w:lang w:eastAsia="es-ES"/>
              </w:rPr>
            </w:pPr>
            <w:r w:rsidRPr="007A584B">
              <w:rPr>
                <w:rFonts w:ascii="Georgia" w:eastAsia="Times New Roman" w:hAnsi="Georgia" w:cs="Times New Roman"/>
                <w:kern w:val="0"/>
                <w:szCs w:val="24"/>
                <w:highlight w:val="green"/>
                <w:lang w:eastAsia="es-ES"/>
              </w:rPr>
              <w:t>El Ministerio de Ambiente, Vivienda y Desarrollo Territorial establecerá los requisitos y el procedimiento para la sustracción a que se refiere el inciso anterior. Igualmente establecerá las condiciones en que operará la sustracción temporal en la etapa de exploración.</w:t>
            </w:r>
            <w:r w:rsidRPr="00DD7418">
              <w:rPr>
                <w:rFonts w:ascii="Georgia" w:eastAsia="Times New Roman" w:hAnsi="Georgia" w:cs="Times New Roman"/>
                <w:kern w:val="0"/>
                <w:szCs w:val="24"/>
                <w:lang w:eastAsia="es-ES"/>
              </w:rPr>
              <w:t xml:space="preserve">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1o.</w:t>
            </w:r>
            <w:r w:rsidRPr="00DD7418">
              <w:rPr>
                <w:rFonts w:ascii="Georgia" w:eastAsia="Times New Roman" w:hAnsi="Georgia" w:cs="Times New Roman"/>
                <w:kern w:val="0"/>
                <w:szCs w:val="24"/>
                <w:lang w:eastAsia="es-ES"/>
              </w:rPr>
              <w:t xml:space="preserve"> En caso que a la entrada en vigencia de la presente ley se adelanten actividades de construcción, montaje o explotación minera con título minero y licencia ambiental o su equivalente en áreas que anteriormente no estaban excluidas, se respetará tales actividades hasta su vencimiento, pero estos títulos no tendrán opción de prórroga.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2o.</w:t>
            </w:r>
            <w:r w:rsidRPr="00DD7418">
              <w:rPr>
                <w:rFonts w:ascii="Georgia" w:eastAsia="Times New Roman" w:hAnsi="Georgia" w:cs="Times New Roman"/>
                <w:kern w:val="0"/>
                <w:szCs w:val="24"/>
                <w:lang w:eastAsia="es-ES"/>
              </w:rPr>
              <w:t xml:space="preserve"> El Ministerio de Ambiente, Vivienda y Desarrollo Territorial una vez entrada en vigencia la presente ley, en un término de cinco años, redelimitará las zonas de reserva forestal de Ley 2ª de 1959; en cuanto a cuáles son protectoras y cuáles no procurando la participación de la autoridad minera y de los demás interesados en dicho proceso.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3o.</w:t>
            </w:r>
            <w:r w:rsidRPr="00DD7418">
              <w:rPr>
                <w:rFonts w:ascii="Georgia" w:eastAsia="Times New Roman" w:hAnsi="Georgia" w:cs="Times New Roman"/>
                <w:kern w:val="0"/>
                <w:szCs w:val="24"/>
                <w:lang w:eastAsia="es-ES"/>
              </w:rPr>
              <w:t xml:space="preserve"> Para la declaración de las zonas de exclusión de que trata el presente artículo se requerirá un concepto previo no vinculante del Ministerio de Minas y Energía. </w:t>
            </w:r>
          </w:p>
          <w:p w:rsidR="00DD7418" w:rsidRPr="00DD7418" w:rsidRDefault="00DD7418" w:rsidP="00DD7418">
            <w:pPr>
              <w:spacing w:after="0"/>
              <w:rPr>
                <w:rFonts w:ascii="Georgia" w:eastAsia="Times New Roman" w:hAnsi="Georgia" w:cs="Times New Roman"/>
                <w:kern w:val="0"/>
                <w:szCs w:val="24"/>
                <w:lang w:eastAsia="es-ES"/>
              </w:rPr>
            </w:pPr>
            <w:bookmarkStart w:id="3" w:name="4"/>
            <w:bookmarkEnd w:id="3"/>
            <w:r w:rsidRPr="00DD7418">
              <w:rPr>
                <w:rFonts w:ascii="Georgia" w:eastAsia="Times New Roman" w:hAnsi="Georgia" w:cs="Times New Roman"/>
                <w:color w:val="000080"/>
                <w:kern w:val="0"/>
                <w:szCs w:val="24"/>
                <w:lang w:eastAsia="es-ES"/>
              </w:rPr>
              <w:t>ARTÍCULO 4o.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18" w:anchor="38" w:tgtFrame="_blank" w:history="1">
              <w:r w:rsidRPr="00DD7418">
                <w:rPr>
                  <w:rFonts w:ascii="Georgia" w:eastAsia="Times New Roman" w:hAnsi="Georgia" w:cs="Times New Roman"/>
                  <w:color w:val="000000"/>
                  <w:kern w:val="0"/>
                  <w:szCs w:val="24"/>
                  <w:u w:val="single"/>
                  <w:lang w:eastAsia="es-ES"/>
                </w:rPr>
                <w:t>38</w:t>
              </w:r>
            </w:hyperlink>
            <w:r w:rsidRPr="00DD7418">
              <w:rPr>
                <w:rFonts w:ascii="Georgia" w:eastAsia="Times New Roman" w:hAnsi="Georgia" w:cs="Times New Roman"/>
                <w:kern w:val="0"/>
                <w:szCs w:val="24"/>
                <w:lang w:eastAsia="es-ES"/>
              </w:rPr>
              <w:t xml:space="preserve"> de la Ley 685 de 2001, Código de Minas, con los siguientes incisos: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Ministerio de Minas y Energía elaborará, dentro de los tres (3) años siguientes a la vigencia de la presente ley, el Plan Nacional de Ordenamiento Minero. En cuya elaboración y adopción deberá tener en cuenta las políticas, normas, determinantes y directrices establecidas en materia ambiental y de ordenamiento del territorio, expedidas por el Ministerio de Ambiente, Vivienda y Desarrollo territorial.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Plan Nacional de Ordenamiento Minero se deberá coordinar con el Ministerio de Ambiente, Vivienda y Desarrollo Territorial, dados los efectos sobre el ambiente, la localización de la población y las posibilidades de uso ambiental del suelo. En todo caso el Plan Nacional de Ordenamiento Minero incluirá un análisis ambiental estratégico del territorio. </w:t>
            </w:r>
          </w:p>
          <w:p w:rsidR="00DD7418" w:rsidRPr="00DD7418" w:rsidRDefault="00DD7418" w:rsidP="00DD7418">
            <w:pPr>
              <w:spacing w:after="0"/>
              <w:rPr>
                <w:rFonts w:ascii="Georgia" w:eastAsia="Times New Roman" w:hAnsi="Georgia" w:cs="Times New Roman"/>
                <w:kern w:val="0"/>
                <w:szCs w:val="24"/>
                <w:lang w:eastAsia="es-ES"/>
              </w:rPr>
            </w:pPr>
            <w:bookmarkStart w:id="4" w:name="5"/>
            <w:bookmarkEnd w:id="4"/>
            <w:r w:rsidRPr="00DD7418">
              <w:rPr>
                <w:rFonts w:ascii="Georgia" w:eastAsia="Times New Roman" w:hAnsi="Georgia" w:cs="Times New Roman"/>
                <w:color w:val="000080"/>
                <w:kern w:val="0"/>
                <w:szCs w:val="24"/>
                <w:lang w:eastAsia="es-ES"/>
              </w:rPr>
              <w:t>ARTÍCULO 5o.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19" w:anchor="74" w:tgtFrame="_blank" w:history="1">
              <w:r w:rsidRPr="00DD7418">
                <w:rPr>
                  <w:rFonts w:ascii="Georgia" w:eastAsia="Times New Roman" w:hAnsi="Georgia" w:cs="Times New Roman"/>
                  <w:color w:val="000000"/>
                  <w:kern w:val="0"/>
                  <w:szCs w:val="24"/>
                  <w:u w:val="single"/>
                  <w:lang w:eastAsia="es-ES"/>
                </w:rPr>
                <w:t>74</w:t>
              </w:r>
            </w:hyperlink>
            <w:r w:rsidRPr="00DD7418">
              <w:rPr>
                <w:rFonts w:ascii="Georgia" w:eastAsia="Times New Roman" w:hAnsi="Georgia" w:cs="Times New Roman"/>
                <w:kern w:val="0"/>
                <w:szCs w:val="24"/>
                <w:lang w:eastAsia="es-ES"/>
              </w:rPr>
              <w:t xml:space="preserve"> de la Ley 685 de 2001 Código de Minas con el siguiente parágrafo: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w:t>
            </w:r>
            <w:r w:rsidRPr="00DD7418">
              <w:rPr>
                <w:rFonts w:ascii="Georgia" w:eastAsia="Times New Roman" w:hAnsi="Georgia" w:cs="Times New Roman"/>
                <w:b/>
                <w:bCs/>
                <w:kern w:val="0"/>
                <w:szCs w:val="24"/>
                <w:lang w:eastAsia="es-ES"/>
              </w:rPr>
              <w:t xml:space="preserve"> </w:t>
            </w:r>
            <w:r w:rsidRPr="00DD7418">
              <w:rPr>
                <w:rFonts w:ascii="Georgia" w:eastAsia="Times New Roman" w:hAnsi="Georgia" w:cs="Times New Roman"/>
                <w:kern w:val="0"/>
                <w:szCs w:val="24"/>
                <w:lang w:eastAsia="es-ES"/>
              </w:rPr>
              <w:t xml:space="preserve">Adicionalmente, si resulta necesaria una prórroga superior a la prevista en el presente artículo, el concesionario podrá continuar las exploraciones, solicitando prórrogas adicionales de dos (2) años cada una, hasta por un término total de once (11) años, para lo cual deberá sustentar las razones técnicas y económicas respectivas, demostrar los trabajos de exploración realizados, el cumplimiento de las Guías Minero-Ambientales, describir los trabajos que ejecutará, especificando su duración, las inversiones que realizará y pagar el canon superficiario respectivo. </w:t>
            </w:r>
          </w:p>
          <w:p w:rsidR="00DD7418" w:rsidRPr="00DD7418" w:rsidRDefault="00DD7418" w:rsidP="00DD7418">
            <w:pPr>
              <w:spacing w:after="0"/>
              <w:rPr>
                <w:rFonts w:ascii="Georgia" w:eastAsia="Times New Roman" w:hAnsi="Georgia" w:cs="Times New Roman"/>
                <w:kern w:val="0"/>
                <w:szCs w:val="24"/>
                <w:lang w:eastAsia="es-ES"/>
              </w:rPr>
            </w:pPr>
            <w:bookmarkStart w:id="5" w:name="6"/>
            <w:bookmarkEnd w:id="5"/>
            <w:r w:rsidRPr="00DD7418">
              <w:rPr>
                <w:rFonts w:ascii="Georgia" w:eastAsia="Times New Roman" w:hAnsi="Georgia" w:cs="Times New Roman"/>
                <w:color w:val="000080"/>
                <w:kern w:val="0"/>
                <w:szCs w:val="24"/>
                <w:lang w:eastAsia="es-ES"/>
              </w:rPr>
              <w:t>ARTÍCULO 6o.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artículo </w:t>
            </w:r>
            <w:hyperlink r:id="rId20" w:anchor="77" w:tgtFrame="_blank" w:history="1">
              <w:r w:rsidRPr="00DD7418">
                <w:rPr>
                  <w:rFonts w:ascii="Georgia" w:eastAsia="Times New Roman" w:hAnsi="Georgia" w:cs="Times New Roman"/>
                  <w:color w:val="000000"/>
                  <w:kern w:val="0"/>
                  <w:szCs w:val="24"/>
                  <w:u w:val="single"/>
                  <w:lang w:eastAsia="es-ES"/>
                </w:rPr>
                <w:t>77</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kern w:val="0"/>
                <w:szCs w:val="24"/>
                <w:lang w:eastAsia="es-ES"/>
              </w:rPr>
              <w:t xml:space="preserve">Artículo </w:t>
            </w:r>
            <w:hyperlink r:id="rId21" w:anchor="77" w:tgtFrame="_blank" w:history="1">
              <w:r w:rsidRPr="00DD7418">
                <w:rPr>
                  <w:rFonts w:ascii="Georgia" w:eastAsia="Times New Roman" w:hAnsi="Georgia" w:cs="Times New Roman"/>
                  <w:color w:val="000000"/>
                  <w:kern w:val="0"/>
                  <w:szCs w:val="24"/>
                  <w:u w:val="single"/>
                  <w:lang w:eastAsia="es-ES"/>
                </w:rPr>
                <w:t>77</w:t>
              </w:r>
            </w:hyperlink>
            <w:r w:rsidRPr="00DD7418">
              <w:rPr>
                <w:rFonts w:ascii="Georgia" w:eastAsia="Times New Roman" w:hAnsi="Georgia" w:cs="Times New Roman"/>
                <w:kern w:val="0"/>
                <w:szCs w:val="24"/>
                <w:lang w:eastAsia="es-ES"/>
              </w:rPr>
              <w:t xml:space="preserve">. </w:t>
            </w:r>
            <w:r w:rsidRPr="00DD7418">
              <w:rPr>
                <w:rFonts w:ascii="Georgia" w:eastAsia="Times New Roman" w:hAnsi="Georgia" w:cs="Times New Roman"/>
                <w:b/>
                <w:bCs/>
                <w:i/>
                <w:iCs/>
                <w:kern w:val="0"/>
                <w:szCs w:val="24"/>
                <w:lang w:eastAsia="es-ES"/>
              </w:rPr>
              <w:t xml:space="preserve">Prórroga y renovación del contrato. </w:t>
            </w:r>
            <w:r w:rsidRPr="00DD7418">
              <w:rPr>
                <w:rFonts w:ascii="Georgia" w:eastAsia="Times New Roman" w:hAnsi="Georgia" w:cs="Times New Roman"/>
                <w:kern w:val="0"/>
                <w:szCs w:val="24"/>
                <w:lang w:eastAsia="es-ES"/>
              </w:rPr>
              <w:t xml:space="preserve">Como mínimo dos (2) años antes de vencerse el período de explotación y encontrándose a paz y salvo, </w:t>
            </w:r>
            <w:r w:rsidRPr="00DD7418">
              <w:rPr>
                <w:rFonts w:ascii="Georgia" w:eastAsia="Times New Roman" w:hAnsi="Georgia" w:cs="Times New Roman"/>
                <w:kern w:val="0"/>
                <w:szCs w:val="24"/>
                <w:lang w:eastAsia="es-ES"/>
              </w:rPr>
              <w:lastRenderedPageBreak/>
              <w:t xml:space="preserve">el concesionario podrá solicitar la prórroga del contrato de hasta veinte (20) años, la cual no será automática, y debe ir acompañada de nuevos estudios técnicos, económicos, ambientales y sociales, que sustenten la situación actual de los recursos. Para el efecto, previamente deberá negociar las condiciones de la prórroga, incluso se podrán pactar contraprestaciones diferentes a la regalía, en todo caso, la prórroga solo se otorgará si se demuestra que es beneficiosa para los intereses del Estado. La prórroga se perfeccionará mediante un acta suscrita por las partes, que se inscribirá en el Registro Minero. </w:t>
            </w:r>
          </w:p>
          <w:p w:rsidR="00DD7418" w:rsidRPr="00DD7418" w:rsidRDefault="00DD7418" w:rsidP="00DD7418">
            <w:pPr>
              <w:spacing w:after="0"/>
              <w:rPr>
                <w:rFonts w:ascii="Georgia" w:eastAsia="Times New Roman" w:hAnsi="Georgia" w:cs="Times New Roman"/>
                <w:kern w:val="0"/>
                <w:szCs w:val="24"/>
                <w:lang w:eastAsia="es-ES"/>
              </w:rPr>
            </w:pPr>
            <w:bookmarkStart w:id="6" w:name="7"/>
            <w:bookmarkEnd w:id="6"/>
            <w:r w:rsidRPr="00DD7418">
              <w:rPr>
                <w:rFonts w:ascii="Georgia" w:eastAsia="Times New Roman" w:hAnsi="Georgia" w:cs="Times New Roman"/>
                <w:color w:val="000080"/>
                <w:kern w:val="0"/>
                <w:szCs w:val="24"/>
                <w:lang w:eastAsia="es-ES"/>
              </w:rPr>
              <w:t>ARTÍCULO 7o.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22" w:anchor="84" w:tgtFrame="_blank" w:history="1">
              <w:r w:rsidRPr="00DD7418">
                <w:rPr>
                  <w:rFonts w:ascii="Georgia" w:eastAsia="Times New Roman" w:hAnsi="Georgia" w:cs="Times New Roman"/>
                  <w:color w:val="000000"/>
                  <w:kern w:val="0"/>
                  <w:szCs w:val="24"/>
                  <w:u w:val="single"/>
                  <w:lang w:eastAsia="es-ES"/>
                </w:rPr>
                <w:t>84</w:t>
              </w:r>
            </w:hyperlink>
            <w:r w:rsidRPr="00DD7418">
              <w:rPr>
                <w:rFonts w:ascii="Georgia" w:eastAsia="Times New Roman" w:hAnsi="Georgia" w:cs="Times New Roman"/>
                <w:kern w:val="0"/>
                <w:szCs w:val="24"/>
                <w:lang w:eastAsia="es-ES"/>
              </w:rPr>
              <w:t xml:space="preserve"> de la Ley 685 de 2001, Código de Minas con el siguiente parágrafo: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w:t>
            </w:r>
            <w:r w:rsidRPr="00DD7418">
              <w:rPr>
                <w:rFonts w:ascii="Georgia" w:eastAsia="Times New Roman" w:hAnsi="Georgia" w:cs="Times New Roman"/>
                <w:kern w:val="0"/>
                <w:szCs w:val="24"/>
                <w:lang w:eastAsia="es-ES"/>
              </w:rPr>
              <w:t xml:space="preserve"> El Ministerio de Minas deberá diseñar un formulario especial para la elaboración de los programas de trabajo y obras (PTO) para el sector de las esmeraldas, toda vez que estos minerales no son cuantificables como los demás. </w:t>
            </w:r>
          </w:p>
          <w:p w:rsidR="00DD7418" w:rsidRPr="00DD7418" w:rsidRDefault="00DD7418" w:rsidP="00DD7418">
            <w:pPr>
              <w:spacing w:after="0"/>
              <w:rPr>
                <w:rFonts w:ascii="Georgia" w:eastAsia="Times New Roman" w:hAnsi="Georgia" w:cs="Times New Roman"/>
                <w:kern w:val="0"/>
                <w:szCs w:val="24"/>
                <w:lang w:eastAsia="es-ES"/>
              </w:rPr>
            </w:pPr>
            <w:bookmarkStart w:id="7" w:name="8"/>
            <w:bookmarkEnd w:id="7"/>
            <w:r w:rsidRPr="00DD7418">
              <w:rPr>
                <w:rFonts w:ascii="Georgia" w:eastAsia="Times New Roman" w:hAnsi="Georgia" w:cs="Times New Roman"/>
                <w:color w:val="000080"/>
                <w:kern w:val="0"/>
                <w:szCs w:val="24"/>
                <w:lang w:eastAsia="es-ES"/>
              </w:rPr>
              <w:t>ARTÍCULO 8o.</w:t>
            </w:r>
            <w:r w:rsidRPr="00DD7418">
              <w:rPr>
                <w:rFonts w:ascii="Georgia" w:eastAsia="Times New Roman" w:hAnsi="Georgia" w:cs="Times New Roman"/>
                <w:kern w:val="0"/>
                <w:szCs w:val="24"/>
                <w:lang w:eastAsia="es-ES"/>
              </w:rPr>
              <w:t xml:space="preserve"> El artículo </w:t>
            </w:r>
            <w:hyperlink r:id="rId23" w:anchor="101" w:tgtFrame="_blank" w:history="1">
              <w:r w:rsidRPr="00DD7418">
                <w:rPr>
                  <w:rFonts w:ascii="Georgia" w:eastAsia="Times New Roman" w:hAnsi="Georgia" w:cs="Times New Roman"/>
                  <w:color w:val="000000"/>
                  <w:kern w:val="0"/>
                  <w:szCs w:val="24"/>
                  <w:u w:val="single"/>
                  <w:lang w:eastAsia="es-ES"/>
                </w:rPr>
                <w:t>101</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Integración de áreas. </w:t>
            </w:r>
            <w:r w:rsidRPr="00DD7418">
              <w:rPr>
                <w:rFonts w:ascii="Georgia" w:eastAsia="Times New Roman" w:hAnsi="Georgia" w:cs="Times New Roman"/>
                <w:kern w:val="0"/>
                <w:szCs w:val="24"/>
                <w:lang w:eastAsia="es-ES"/>
              </w:rPr>
              <w:t xml:space="preserve">Cuando las áreas correspondientes a varios títulos, pertenecientes a uno o varios beneficiarios para un mismo mineral fueren contiguas o vecinas no colindantes siempre que pertenezcan al mismo yacimiento, se podrán incluir en un programa único de exploración y explotación para realizar en dichas áreas sus obras y labores, simultánea o alternativamente, con objetivos y metas de producción unificados, integrándolas en un solo contrato. Con este propósito los interesados deberán presentar a la Autoridad Minera el mencionado programa conjunto para su aprobación y del cual serán solidariamente responsables.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Este contrato unificado deberá garantizar de una parte, que se mantengan las contraprestaciones exigidas en los títulos cuyas áreas fueron integradas, y de otra, establecerá los mecanismos que resulten necesarios para que las autoridades puedan ejercer un control adecuado sobre las respectivas explotaciones, en aras de asegurar la adecuada distribución de las contraprestaciones económicas a los entes beneficiarios.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régimen aplicable al contrato integrado será el que corresponda en atención a lo establecido en el Título VIII, Capítulo XXXII, de este código, por lo cual cuando la integración comprenda contratos provenientes del régimen de Aporte, se mantendrán todas las condiciones de los contratos y las contraprestaciones económicas pactadas, adicionales a las regalías de ley.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caso de integrarse contratos de regímenes diferentes o cuando entre los contratos a integrar existieren diferencias en cualquiera de sus obligaciones, diferentes a las contraprestaciones ambientales y económicas, siempre se preferirán aquellas que resulten más favorables para los intereses del Estado.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resultado de la integración de las áreas deberá modificar la licencia ambiental existente, o tramitar uno nuevo para el proyecto resultante ante la autoridad ambiental competente, para lo cual deberá solicitar pronunciamiento previo.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ningún caso se procederá a la integración de áreas cuando con esta integración resulten afectados en sus expectativas de ingresos por regalías dos (2) o más municipios beneficiarios de regalías, dentro de los diez (10) años siguientes a la integración.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Para efectos de la duración del nuevo contrato, se tendrá en cuenta el plazo transcurrido del contrato más antiguo, plazo que podrá prorrogarse conforme a lo dispuesto en el artículo </w:t>
            </w:r>
            <w:hyperlink r:id="rId24" w:anchor="77" w:tgtFrame="_blank" w:history="1">
              <w:r w:rsidRPr="00DD7418">
                <w:rPr>
                  <w:rFonts w:ascii="Georgia" w:eastAsia="Times New Roman" w:hAnsi="Georgia" w:cs="Times New Roman"/>
                  <w:color w:val="000000"/>
                  <w:kern w:val="0"/>
                  <w:szCs w:val="24"/>
                  <w:u w:val="single"/>
                  <w:lang w:eastAsia="es-ES"/>
                </w:rPr>
                <w:t>77</w:t>
              </w:r>
            </w:hyperlink>
            <w:r w:rsidRPr="00DD7418">
              <w:rPr>
                <w:rFonts w:ascii="Georgia" w:eastAsia="Times New Roman" w:hAnsi="Georgia" w:cs="Times New Roman"/>
                <w:kern w:val="0"/>
                <w:szCs w:val="24"/>
                <w:lang w:eastAsia="es-ES"/>
              </w:rPr>
              <w:t xml:space="preserve"> de este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todo caso la Autoridad Minera tendrá la facultad de aprobar o no la </w:t>
            </w:r>
            <w:r w:rsidRPr="00DD7418">
              <w:rPr>
                <w:rFonts w:ascii="Georgia" w:eastAsia="Times New Roman" w:hAnsi="Georgia" w:cs="Times New Roman"/>
                <w:kern w:val="0"/>
                <w:szCs w:val="24"/>
                <w:lang w:eastAsia="es-ES"/>
              </w:rPr>
              <w:lastRenderedPageBreak/>
              <w:t xml:space="preserve">integración, mediante resolución motivada. </w:t>
            </w:r>
          </w:p>
          <w:p w:rsidR="00DD7418" w:rsidRPr="00DD7418" w:rsidRDefault="00DD7418" w:rsidP="00DD7418">
            <w:pPr>
              <w:spacing w:after="0"/>
              <w:rPr>
                <w:rFonts w:ascii="Georgia" w:eastAsia="Times New Roman" w:hAnsi="Georgia" w:cs="Times New Roman"/>
                <w:kern w:val="0"/>
                <w:szCs w:val="24"/>
                <w:lang w:eastAsia="es-ES"/>
              </w:rPr>
            </w:pPr>
            <w:bookmarkStart w:id="8" w:name="9"/>
            <w:bookmarkEnd w:id="8"/>
            <w:r w:rsidRPr="00DD7418">
              <w:rPr>
                <w:rFonts w:ascii="Georgia" w:eastAsia="Times New Roman" w:hAnsi="Georgia" w:cs="Times New Roman"/>
                <w:color w:val="000080"/>
                <w:kern w:val="0"/>
                <w:szCs w:val="24"/>
                <w:lang w:eastAsia="es-ES"/>
              </w:rPr>
              <w:t>ARTÍCULO 9o.</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25" w:anchor="112" w:tgtFrame="_blank" w:history="1">
              <w:r w:rsidRPr="00DD7418">
                <w:rPr>
                  <w:rFonts w:ascii="Georgia" w:eastAsia="Times New Roman" w:hAnsi="Georgia" w:cs="Times New Roman"/>
                  <w:color w:val="000000"/>
                  <w:kern w:val="0"/>
                  <w:szCs w:val="24"/>
                  <w:u w:val="single"/>
                  <w:lang w:eastAsia="es-ES"/>
                </w:rPr>
                <w:t>112</w:t>
              </w:r>
            </w:hyperlink>
            <w:r w:rsidRPr="00DD7418">
              <w:rPr>
                <w:rFonts w:ascii="Georgia" w:eastAsia="Times New Roman" w:hAnsi="Georgia" w:cs="Times New Roman"/>
                <w:kern w:val="0"/>
                <w:szCs w:val="24"/>
                <w:lang w:eastAsia="es-ES"/>
              </w:rPr>
              <w:t xml:space="preserve"> de la Ley 685 de 2001, Código de Minas, con el siguiente literal: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kern w:val="0"/>
                <w:szCs w:val="24"/>
                <w:lang w:eastAsia="es-ES"/>
              </w:rPr>
              <w:t xml:space="preserve">k) </w:t>
            </w:r>
            <w:r w:rsidRPr="00DD7418">
              <w:rPr>
                <w:rFonts w:ascii="Georgia" w:eastAsia="Times New Roman" w:hAnsi="Georgia" w:cs="Times New Roman"/>
                <w:kern w:val="0"/>
                <w:szCs w:val="24"/>
                <w:lang w:eastAsia="es-ES"/>
              </w:rPr>
              <w:t xml:space="preserve">Cuando empresas o personas naturales en ejercicio de actividades mineras, contraten a personas menores de 18 años para desempeñarse en labores de minería tanto de cielo abierto como subterráneas. </w:t>
            </w:r>
          </w:p>
          <w:p w:rsidR="00DD7418" w:rsidRPr="00DD7418" w:rsidRDefault="00DD7418" w:rsidP="00DD7418">
            <w:pPr>
              <w:spacing w:after="0"/>
              <w:rPr>
                <w:rFonts w:ascii="Georgia" w:eastAsia="Times New Roman" w:hAnsi="Georgia" w:cs="Times New Roman"/>
                <w:kern w:val="0"/>
                <w:szCs w:val="24"/>
                <w:lang w:eastAsia="es-ES"/>
              </w:rPr>
            </w:pPr>
            <w:bookmarkStart w:id="9" w:name="10"/>
            <w:bookmarkEnd w:id="9"/>
            <w:r w:rsidRPr="00DD7418">
              <w:rPr>
                <w:rFonts w:ascii="Georgia" w:eastAsia="Times New Roman" w:hAnsi="Georgia" w:cs="Times New Roman"/>
                <w:color w:val="000080"/>
                <w:kern w:val="0"/>
                <w:szCs w:val="24"/>
                <w:lang w:eastAsia="es-ES"/>
              </w:rPr>
              <w:t>ARTÍCULO 10.</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artículo </w:t>
            </w:r>
            <w:hyperlink r:id="rId26" w:anchor="116" w:tgtFrame="_blank" w:history="1">
              <w:r w:rsidRPr="00DD7418">
                <w:rPr>
                  <w:rFonts w:ascii="Georgia" w:eastAsia="Times New Roman" w:hAnsi="Georgia" w:cs="Times New Roman"/>
                  <w:color w:val="000000"/>
                  <w:kern w:val="0"/>
                  <w:szCs w:val="24"/>
                  <w:u w:val="single"/>
                  <w:lang w:eastAsia="es-ES"/>
                </w:rPr>
                <w:t>116</w:t>
              </w:r>
            </w:hyperlink>
            <w:r w:rsidRPr="00DD7418">
              <w:rPr>
                <w:rFonts w:ascii="Georgia" w:eastAsia="Times New Roman" w:hAnsi="Georgia" w:cs="Times New Roman"/>
                <w:kern w:val="0"/>
                <w:szCs w:val="24"/>
                <w:lang w:eastAsia="es-ES"/>
              </w:rPr>
              <w:t xml:space="preserve"> de la Ley 685 de 2001, Código de Minas.</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Autorización temporal. </w:t>
            </w:r>
            <w:r w:rsidRPr="00DD7418">
              <w:rPr>
                <w:rFonts w:ascii="Georgia" w:eastAsia="Times New Roman" w:hAnsi="Georgia" w:cs="Times New Roman"/>
                <w:kern w:val="0"/>
                <w:szCs w:val="24"/>
                <w:lang w:eastAsia="es-ES"/>
              </w:rPr>
              <w:t xml:space="preserve">Las entidades públicas, entidades territoriales, empresas y los contratistas que se propongan adelantar la construcción, reparación, mantenimiento o mejora de una vía pública nacional, departamental o municipal, o la realización de un gran proyecto de infraestructura declarado de interés nacional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dicha obra, con base en la constancia que expida la entidad para la cual se realice la obra y que especifique el trayecto de la vía o característica de la obra, la duración de los trabajos y la cantidad máxima que deberá utilizarse.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Dicha autorización deberá ser resuelta en el término improrrogable de treinta (30) días o se considerará otorgada por aplicación del silencio administrativo positivo.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autorización temporal tendrá una vigencia máxima de tres (3) años prorrogables, por una sola vez, contados a partir de su otorgamiento.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competente hará seguimiento a las actividades realizadas en ejecución de las autorizaciones temporales. El incumplimiento de las medidas señaladas en el informe de actividades o de las obligaciones impuestas en el acto administrativo de otorgamiento del derecho por parte del beneficiario de la autorización, temporal, dará lugar a que se revoque la autorización temporal, sin perjuicio de la imposición de las multas a que haya lugar, de conformidad con el artículo </w:t>
            </w:r>
            <w:hyperlink r:id="rId27" w:anchor="115" w:tgtFrame="_blank" w:history="1">
              <w:r w:rsidRPr="00DD7418">
                <w:rPr>
                  <w:rFonts w:ascii="Georgia" w:eastAsia="Times New Roman" w:hAnsi="Georgia" w:cs="Times New Roman"/>
                  <w:color w:val="000000"/>
                  <w:kern w:val="0"/>
                  <w:szCs w:val="24"/>
                  <w:u w:val="single"/>
                  <w:lang w:eastAsia="es-ES"/>
                </w:rPr>
                <w:t>115</w:t>
              </w:r>
            </w:hyperlink>
            <w:r w:rsidRPr="00DD7418">
              <w:rPr>
                <w:rFonts w:ascii="Georgia" w:eastAsia="Times New Roman" w:hAnsi="Georgia" w:cs="Times New Roman"/>
                <w:kern w:val="0"/>
                <w:szCs w:val="24"/>
                <w:lang w:eastAsia="es-ES"/>
              </w:rPr>
              <w:t xml:space="preserve"> de este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Las áreas sobre las cuales exista un título minero de materiales de construcción, no son susceptibles de autorizaciones temporales; no obstante sus titulares estarán obligados a suministrar los materiales de construcción a precios de mercado normalizado para la zona. De no existir acuerdo sobre este precio se procederá a convocar un arbitramento técnico a través de la Cámara de Comercio respectiva, para que defina dicho precio.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caso de que el concesionario no suministre los materiales de construcción, la explotación será adelantada por el solicitante de la autorización temporal y en dicho evento en el arbitramento además se resolverá sobre las zonas compatibles para adelantar las nuevas explotaciones. Respecto al pago y al ingreso a la zona se aplicará, en lo pertinente, lo previsto en el Capítulo de Servidumbres del presente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el concesionario se encuentra en la etapa de exploración, con sujeción a las normas ambientales, podrá solicitar a la Autoridad Minera que se autorice el inicio del período de construcción y montaje y la explotación anticipada acorde con lo estipulado en este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la zona objeto de la autorización temporal se sobrepusiere a una propuesta de concesión, que no incluya materiales de construcción, se otorgará la autorización temporal, pero una vez finalizada dicha autorización, el área hará </w:t>
            </w:r>
            <w:r w:rsidRPr="00DD7418">
              <w:rPr>
                <w:rFonts w:ascii="Georgia" w:eastAsia="Times New Roman" w:hAnsi="Georgia" w:cs="Times New Roman"/>
                <w:kern w:val="0"/>
                <w:szCs w:val="24"/>
                <w:lang w:eastAsia="es-ES"/>
              </w:rPr>
              <w:lastRenderedPageBreak/>
              <w:t xml:space="preserve">parte de la propuesta o contrato a la cual se superpuso.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Cuando el proponente o titular de un derecho minero lo autorice, la Autoridad Minera podrá otorgar autorización temporal de manera concurrente. En este caso cada titular responderá por los trabajos mineros que realice directamente y por el cumplimiento de las normas ambientales vigentes.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Lo dispuesto en los artículos </w:t>
            </w:r>
            <w:hyperlink r:id="rId28" w:anchor="117" w:tgtFrame="_blank" w:history="1">
              <w:r w:rsidRPr="00DD7418">
                <w:rPr>
                  <w:rFonts w:ascii="Georgia" w:eastAsia="Times New Roman" w:hAnsi="Georgia" w:cs="Times New Roman"/>
                  <w:color w:val="000000"/>
                  <w:kern w:val="0"/>
                  <w:szCs w:val="24"/>
                  <w:u w:val="single"/>
                  <w:lang w:eastAsia="es-ES"/>
                </w:rPr>
                <w:t>117</w:t>
              </w:r>
            </w:hyperlink>
            <w:r w:rsidRPr="00DD7418">
              <w:rPr>
                <w:rFonts w:ascii="Georgia" w:eastAsia="Times New Roman" w:hAnsi="Georgia" w:cs="Times New Roman"/>
                <w:kern w:val="0"/>
                <w:szCs w:val="24"/>
                <w:lang w:eastAsia="es-ES"/>
              </w:rPr>
              <w:t xml:space="preserve">, </w:t>
            </w:r>
            <w:hyperlink r:id="rId29" w:anchor="118" w:tgtFrame="_blank" w:history="1">
              <w:r w:rsidRPr="00DD7418">
                <w:rPr>
                  <w:rFonts w:ascii="Georgia" w:eastAsia="Times New Roman" w:hAnsi="Georgia" w:cs="Times New Roman"/>
                  <w:color w:val="000000"/>
                  <w:kern w:val="0"/>
                  <w:szCs w:val="24"/>
                  <w:u w:val="single"/>
                  <w:lang w:eastAsia="es-ES"/>
                </w:rPr>
                <w:t>118</w:t>
              </w:r>
            </w:hyperlink>
            <w:r w:rsidRPr="00DD7418">
              <w:rPr>
                <w:rFonts w:ascii="Georgia" w:eastAsia="Times New Roman" w:hAnsi="Georgia" w:cs="Times New Roman"/>
                <w:kern w:val="0"/>
                <w:szCs w:val="24"/>
                <w:lang w:eastAsia="es-ES"/>
              </w:rPr>
              <w:t xml:space="preserve">, </w:t>
            </w:r>
            <w:hyperlink r:id="rId30" w:anchor="119" w:tgtFrame="_blank" w:history="1">
              <w:r w:rsidRPr="00DD7418">
                <w:rPr>
                  <w:rFonts w:ascii="Georgia" w:eastAsia="Times New Roman" w:hAnsi="Georgia" w:cs="Times New Roman"/>
                  <w:color w:val="000000"/>
                  <w:kern w:val="0"/>
                  <w:szCs w:val="24"/>
                  <w:u w:val="single"/>
                  <w:lang w:eastAsia="es-ES"/>
                </w:rPr>
                <w:t>119</w:t>
              </w:r>
            </w:hyperlink>
            <w:r w:rsidRPr="00DD7418">
              <w:rPr>
                <w:rFonts w:ascii="Georgia" w:eastAsia="Times New Roman" w:hAnsi="Georgia" w:cs="Times New Roman"/>
                <w:kern w:val="0"/>
                <w:szCs w:val="24"/>
                <w:lang w:eastAsia="es-ES"/>
              </w:rPr>
              <w:t xml:space="preserve">, </w:t>
            </w:r>
            <w:hyperlink r:id="rId31" w:anchor="120" w:tgtFrame="_blank" w:history="1">
              <w:r w:rsidRPr="00DD7418">
                <w:rPr>
                  <w:rFonts w:ascii="Georgia" w:eastAsia="Times New Roman" w:hAnsi="Georgia" w:cs="Times New Roman"/>
                  <w:color w:val="000000"/>
                  <w:kern w:val="0"/>
                  <w:szCs w:val="24"/>
                  <w:u w:val="single"/>
                  <w:lang w:eastAsia="es-ES"/>
                </w:rPr>
                <w:t>120</w:t>
              </w:r>
            </w:hyperlink>
            <w:r w:rsidRPr="00DD7418">
              <w:rPr>
                <w:rFonts w:ascii="Georgia" w:eastAsia="Times New Roman" w:hAnsi="Georgia" w:cs="Times New Roman"/>
                <w:kern w:val="0"/>
                <w:szCs w:val="24"/>
                <w:lang w:eastAsia="es-ES"/>
              </w:rPr>
              <w:t xml:space="preserve"> y </w:t>
            </w:r>
            <w:hyperlink r:id="rId32" w:anchor="332" w:tgtFrame="_blank" w:history="1">
              <w:r w:rsidRPr="00DD7418">
                <w:rPr>
                  <w:rFonts w:ascii="Georgia" w:eastAsia="Times New Roman" w:hAnsi="Georgia" w:cs="Times New Roman"/>
                  <w:color w:val="000000"/>
                  <w:kern w:val="0"/>
                  <w:szCs w:val="24"/>
                  <w:u w:val="single"/>
                  <w:lang w:eastAsia="es-ES"/>
                </w:rPr>
                <w:t>332</w:t>
              </w:r>
            </w:hyperlink>
            <w:r w:rsidRPr="00DD7418">
              <w:rPr>
                <w:rFonts w:ascii="Georgia" w:eastAsia="Times New Roman" w:hAnsi="Georgia" w:cs="Times New Roman"/>
                <w:kern w:val="0"/>
                <w:szCs w:val="24"/>
                <w:lang w:eastAsia="es-ES"/>
              </w:rPr>
              <w:t xml:space="preserve"> de la Ley 685 del 2001 es aplicable también a las obras de infraestructura a que se refiere el inciso primero de este artículo e igualmente se mantienen las previsiones del artículo </w:t>
            </w:r>
            <w:hyperlink r:id="rId33" w:anchor="41" w:tgtFrame="_blank" w:history="1">
              <w:r w:rsidRPr="00DD7418">
                <w:rPr>
                  <w:rFonts w:ascii="Georgia" w:eastAsia="Times New Roman" w:hAnsi="Georgia" w:cs="Times New Roman"/>
                  <w:color w:val="000000"/>
                  <w:kern w:val="0"/>
                  <w:szCs w:val="24"/>
                  <w:u w:val="single"/>
                  <w:lang w:eastAsia="es-ES"/>
                </w:rPr>
                <w:t>41</w:t>
              </w:r>
            </w:hyperlink>
            <w:r w:rsidRPr="00DD7418">
              <w:rPr>
                <w:rFonts w:ascii="Georgia" w:eastAsia="Times New Roman" w:hAnsi="Georgia" w:cs="Times New Roman"/>
                <w:kern w:val="0"/>
                <w:szCs w:val="24"/>
                <w:lang w:eastAsia="es-ES"/>
              </w:rPr>
              <w:t xml:space="preserve"> y las demás derivadas de los derechos de propiedad privada. </w:t>
            </w:r>
          </w:p>
          <w:p w:rsidR="00DD7418" w:rsidRPr="00DD7418" w:rsidRDefault="00DD7418" w:rsidP="00DD7418">
            <w:pPr>
              <w:spacing w:after="0"/>
              <w:rPr>
                <w:rFonts w:ascii="Georgia" w:eastAsia="Times New Roman" w:hAnsi="Georgia" w:cs="Times New Roman"/>
                <w:kern w:val="0"/>
                <w:szCs w:val="24"/>
                <w:lang w:eastAsia="es-ES"/>
              </w:rPr>
            </w:pPr>
            <w:bookmarkStart w:id="10" w:name="11"/>
            <w:bookmarkEnd w:id="10"/>
            <w:r w:rsidRPr="00DD7418">
              <w:rPr>
                <w:rFonts w:ascii="Georgia" w:eastAsia="Times New Roman" w:hAnsi="Georgia" w:cs="Times New Roman"/>
                <w:color w:val="000080"/>
                <w:kern w:val="0"/>
                <w:szCs w:val="24"/>
                <w:lang w:eastAsia="es-ES"/>
              </w:rPr>
              <w:t>ARTÍCULO 11.</w:t>
            </w:r>
            <w:r w:rsidRPr="00DD7418">
              <w:rPr>
                <w:rFonts w:ascii="Georgia" w:eastAsia="Times New Roman" w:hAnsi="Georgia" w:cs="Times New Roman"/>
                <w:kern w:val="0"/>
                <w:szCs w:val="24"/>
                <w:lang w:eastAsia="es-ES"/>
              </w:rPr>
              <w:t xml:space="preserve"> Modifíquese el artículo </w:t>
            </w:r>
            <w:hyperlink r:id="rId34" w:anchor="187" w:tgtFrame="_blank" w:history="1">
              <w:r w:rsidRPr="00DD7418">
                <w:rPr>
                  <w:rFonts w:ascii="Georgia" w:eastAsia="Times New Roman" w:hAnsi="Georgia" w:cs="Times New Roman"/>
                  <w:color w:val="000000"/>
                  <w:kern w:val="0"/>
                  <w:szCs w:val="24"/>
                  <w:u w:val="single"/>
                  <w:lang w:eastAsia="es-ES"/>
                </w:rPr>
                <w:t>187</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Necesidad de los bienes. </w:t>
            </w:r>
            <w:r w:rsidRPr="00DD7418">
              <w:rPr>
                <w:rFonts w:ascii="Georgia" w:eastAsia="Times New Roman" w:hAnsi="Georgia" w:cs="Times New Roman"/>
                <w:kern w:val="0"/>
                <w:szCs w:val="24"/>
                <w:lang w:eastAsia="es-ES"/>
              </w:rPr>
              <w:t xml:space="preserve">El carácter de indispensable de los bienes inmuebles objeto de la expropiación, así como de los derechos sobre los mismos, incluyendo la posesión, se determinará con base en el Programa de Trabajo e Inversiones, en el Programa de Trabajos y Obras o en el Estudio de Factibilidad, según corresponda, aprobado por la Autoridad Minera, así como en sus respectivas modificaciones. En caso de contratos cuyo régimen aplicable no exija la aprobación de este tipo de documentos, bastará con la presentación del respectivo plan minero.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Ministerio de Minas y Energía, cuando lo considere necesario, ordenará, dentro de los diez (10) días siguientes a la presentación de la solicitud, mediante providencia que se notificará personalmente al propietario o poseedor del inmueble, una inspección administrativa a costa del minero interesado, y adoptará su decisión definitiva dentro de los veinte (20) días siguientes.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w:t>
            </w:r>
            <w:r w:rsidRPr="00DD7418">
              <w:rPr>
                <w:rFonts w:ascii="Georgia" w:eastAsia="Times New Roman" w:hAnsi="Georgia" w:cs="Times New Roman"/>
                <w:kern w:val="0"/>
                <w:szCs w:val="24"/>
                <w:lang w:eastAsia="es-ES"/>
              </w:rPr>
              <w:t xml:space="preserve"> Previo avalúo técnico del inmueble o de la posesión, por medio de peritos de la propiedad lonja raíz, para tasar la respectiva indemnización a favor del titular del predio a expropiar. </w:t>
            </w:r>
          </w:p>
          <w:p w:rsidR="00DD7418" w:rsidRPr="00DD7418" w:rsidRDefault="00DD7418" w:rsidP="00DD7418">
            <w:pPr>
              <w:spacing w:after="0"/>
              <w:rPr>
                <w:rFonts w:ascii="Georgia" w:eastAsia="Times New Roman" w:hAnsi="Georgia" w:cs="Times New Roman"/>
                <w:kern w:val="0"/>
                <w:szCs w:val="24"/>
                <w:lang w:eastAsia="es-ES"/>
              </w:rPr>
            </w:pPr>
            <w:bookmarkStart w:id="11" w:name="12"/>
            <w:bookmarkEnd w:id="11"/>
            <w:r w:rsidRPr="00DD7418">
              <w:rPr>
                <w:rFonts w:ascii="Georgia" w:eastAsia="Times New Roman" w:hAnsi="Georgia" w:cs="Times New Roman"/>
                <w:color w:val="000080"/>
                <w:kern w:val="0"/>
                <w:szCs w:val="24"/>
                <w:lang w:eastAsia="es-ES"/>
              </w:rPr>
              <w:t xml:space="preserve">ARTÍCULO 12. </w:t>
            </w:r>
            <w:r w:rsidRPr="00DD7418">
              <w:rPr>
                <w:rFonts w:ascii="Georgia" w:eastAsia="Times New Roman" w:hAnsi="Georgia" w:cs="Times New Roman"/>
                <w:i/>
                <w:iCs/>
                <w:color w:val="000080"/>
                <w:kern w:val="0"/>
                <w:szCs w:val="24"/>
                <w:lang w:eastAsia="es-ES"/>
              </w:rPr>
              <w:t>LEGALIZACIÓN</w:t>
            </w:r>
            <w:r w:rsidRPr="00DD7418">
              <w:rPr>
                <w:rFonts w:ascii="Georgia" w:eastAsia="Times New Roman" w:hAnsi="Georgia" w:cs="Times New Roman"/>
                <w:color w:val="000080"/>
                <w:kern w:val="0"/>
                <w:szCs w:val="24"/>
                <w:lang w:eastAsia="es-ES"/>
              </w:rPr>
              <w:t>.</w:t>
            </w:r>
            <w:r w:rsidRPr="00DD7418">
              <w:rPr>
                <w:rFonts w:ascii="Georgia" w:eastAsia="Times New Roman" w:hAnsi="Georgia" w:cs="Times New Roman"/>
                <w:kern w:val="0"/>
                <w:szCs w:val="24"/>
                <w:lang w:eastAsia="es-ES"/>
              </w:rPr>
              <w:t xml:space="preserve"> Los explotadores, los grupos y asociaciones de minería tradicional que exploten minas de propiedad estatal sin título inscrito en el Registro Minero Nacional, deberán solicitar, en el término improrrogable de dos (2) años contados a partir de la promulgación de la presente ley, que la mina o minas correspondientes le sean otorgadas en concesión llenando para el efecto todos los requisitos de fondo y de forma y siempre que el área solicitada se hallare libre para contratar, y se acredite que los trabajos mineros se vienen adelantando en forma continua desde antes de la vigencia de la Ley </w:t>
            </w:r>
            <w:hyperlink r:id="rId35" w:anchor="1" w:tgtFrame="_blank" w:history="1">
              <w:r w:rsidRPr="00DD7418">
                <w:rPr>
                  <w:rFonts w:ascii="Georgia" w:eastAsia="Times New Roman" w:hAnsi="Georgia" w:cs="Times New Roman"/>
                  <w:color w:val="000000"/>
                  <w:kern w:val="0"/>
                  <w:szCs w:val="24"/>
                  <w:u w:val="single"/>
                  <w:lang w:eastAsia="es-ES"/>
                </w:rPr>
                <w:t>685</w:t>
              </w:r>
            </w:hyperlink>
            <w:r w:rsidRPr="00DD7418">
              <w:rPr>
                <w:rFonts w:ascii="Georgia" w:eastAsia="Times New Roman" w:hAnsi="Georgia" w:cs="Times New Roman"/>
                <w:kern w:val="0"/>
                <w:szCs w:val="24"/>
                <w:lang w:eastAsia="es-ES"/>
              </w:rPr>
              <w:t xml:space="preserve"> de 2001.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el área solicitada se encuentra ocupada por una concesión, y siempre que el grupo o asociación demuestre una antigüedad mayor a la que tiene la concesión, se procederá a verificar las condiciones de cumplimiento de las obligaciones del titular minero y en caso de hallarse en causal de caducidad se tendrá como primera opción para continuar el trámite la solicitud de legalización debidamente presentada, una vez caducado el contrato.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el evento en que el titular se encuentre al día en sus obligaciones, la Autoridad Minera mediará entre las partes para que lleguen a acuerdos, como la suscripción de Contratos de Asociación y Operación debidamente inscritos en el Registro Minero Nacional previstos en el artículo </w:t>
            </w:r>
            <w:hyperlink r:id="rId36" w:anchor="221" w:tgtFrame="_blank" w:history="1">
              <w:r w:rsidRPr="00DD7418">
                <w:rPr>
                  <w:rFonts w:ascii="Georgia" w:eastAsia="Times New Roman" w:hAnsi="Georgia" w:cs="Times New Roman"/>
                  <w:color w:val="000000"/>
                  <w:kern w:val="0"/>
                  <w:szCs w:val="24"/>
                  <w:u w:val="single"/>
                  <w:lang w:eastAsia="es-ES"/>
                </w:rPr>
                <w:t>221</w:t>
              </w:r>
            </w:hyperlink>
            <w:r w:rsidRPr="00DD7418">
              <w:rPr>
                <w:rFonts w:ascii="Georgia" w:eastAsia="Times New Roman" w:hAnsi="Georgia" w:cs="Times New Roman"/>
                <w:kern w:val="0"/>
                <w:szCs w:val="24"/>
                <w:lang w:eastAsia="es-ES"/>
              </w:rPr>
              <w:t xml:space="preserve"> del presente Código, entre otros, que permitan la explotación por parte de los grupos o asociaciones. Para llegar las partes a estos acuerdos tendrán un plazo de seis (6) meses, contados a partir de la solicitud del minero tradicional.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el área no se hallare libre por la existencia de una propuesta de contrato de concesión y se presentare una solicitud de legalización en los términos de este </w:t>
            </w:r>
            <w:r w:rsidRPr="00DD7418">
              <w:rPr>
                <w:rFonts w:ascii="Georgia" w:eastAsia="Times New Roman" w:hAnsi="Georgia" w:cs="Times New Roman"/>
                <w:kern w:val="0"/>
                <w:szCs w:val="24"/>
                <w:lang w:eastAsia="es-ES"/>
              </w:rPr>
              <w:lastRenderedPageBreak/>
              <w:t xml:space="preserve">artículo, se continuará el trámite de la propuesta, y en caso de llegar a ser contrato de concesión, la Autoridad Minera procederá de acuerdo a lo señalado en el inciso tercero del presente artículo. Si la solicitud de propuesta de contrato de concesión se rechaza, se tendrá como primera opción para continuar el trámite, la solicitud de legalización.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1o.</w:t>
            </w:r>
            <w:r w:rsidRPr="00DD7418">
              <w:rPr>
                <w:rFonts w:ascii="Georgia" w:eastAsia="Times New Roman" w:hAnsi="Georgia" w:cs="Times New Roman"/>
                <w:kern w:val="0"/>
                <w:szCs w:val="24"/>
                <w:lang w:eastAsia="es-ES"/>
              </w:rPr>
              <w:t xml:space="preserve"> En todo caso, la autoridad minera contará hasta con un (1) año para realizar la visita de </w:t>
            </w:r>
            <w:proofErr w:type="spellStart"/>
            <w:r w:rsidRPr="00DD7418">
              <w:rPr>
                <w:rFonts w:ascii="Georgia" w:eastAsia="Times New Roman" w:hAnsi="Georgia" w:cs="Times New Roman"/>
                <w:kern w:val="0"/>
                <w:szCs w:val="24"/>
                <w:lang w:eastAsia="es-ES"/>
              </w:rPr>
              <w:t>viabilización</w:t>
            </w:r>
            <w:proofErr w:type="spellEnd"/>
            <w:r w:rsidRPr="00DD7418">
              <w:rPr>
                <w:rFonts w:ascii="Georgia" w:eastAsia="Times New Roman" w:hAnsi="Georgia" w:cs="Times New Roman"/>
                <w:kern w:val="0"/>
                <w:szCs w:val="24"/>
                <w:lang w:eastAsia="es-ES"/>
              </w:rPr>
              <w:t xml:space="preserve">, después de presentada la solicitud de legalización, para resolver el respectivo trámite; y contará hasta con dos (2) meses, a partir del recibo de los PTO y PMA por parte del interesado, para resolver de fondo la solicitud de legalización. Hasta tanto la Autoridad Minera no resuelva las solicitudes de legalización en virtud de este artículo no habrá lugar a proceder, respecto de los interesados, mediante las medidas previstas en los artículos </w:t>
            </w:r>
            <w:hyperlink r:id="rId37" w:anchor="161" w:tgtFrame="_blank" w:history="1">
              <w:r w:rsidRPr="00DD7418">
                <w:rPr>
                  <w:rFonts w:ascii="Georgia" w:eastAsia="Times New Roman" w:hAnsi="Georgia" w:cs="Times New Roman"/>
                  <w:color w:val="000000"/>
                  <w:kern w:val="0"/>
                  <w:szCs w:val="24"/>
                  <w:u w:val="single"/>
                  <w:lang w:eastAsia="es-ES"/>
                </w:rPr>
                <w:t>161</w:t>
              </w:r>
            </w:hyperlink>
            <w:r w:rsidRPr="00DD7418">
              <w:rPr>
                <w:rFonts w:ascii="Georgia" w:eastAsia="Times New Roman" w:hAnsi="Georgia" w:cs="Times New Roman"/>
                <w:kern w:val="0"/>
                <w:szCs w:val="24"/>
                <w:lang w:eastAsia="es-ES"/>
              </w:rPr>
              <w:t xml:space="preserve"> y </w:t>
            </w:r>
            <w:hyperlink r:id="rId38" w:anchor="306" w:tgtFrame="_blank" w:history="1">
              <w:r w:rsidRPr="00DD7418">
                <w:rPr>
                  <w:rFonts w:ascii="Georgia" w:eastAsia="Times New Roman" w:hAnsi="Georgia" w:cs="Times New Roman"/>
                  <w:color w:val="000000"/>
                  <w:kern w:val="0"/>
                  <w:szCs w:val="24"/>
                  <w:u w:val="single"/>
                  <w:lang w:eastAsia="es-ES"/>
                </w:rPr>
                <w:t>306</w:t>
              </w:r>
            </w:hyperlink>
            <w:r w:rsidRPr="00DD7418">
              <w:rPr>
                <w:rFonts w:ascii="Georgia" w:eastAsia="Times New Roman" w:hAnsi="Georgia" w:cs="Times New Roman"/>
                <w:kern w:val="0"/>
                <w:szCs w:val="24"/>
                <w:lang w:eastAsia="es-ES"/>
              </w:rPr>
              <w:t xml:space="preserve">, ni a proseguirles las acciones penales señaladas en los artículos </w:t>
            </w:r>
            <w:hyperlink r:id="rId39" w:anchor="159" w:tgtFrame="_blank" w:history="1">
              <w:r w:rsidRPr="00DD7418">
                <w:rPr>
                  <w:rFonts w:ascii="Georgia" w:eastAsia="Times New Roman" w:hAnsi="Georgia" w:cs="Times New Roman"/>
                  <w:color w:val="000000"/>
                  <w:kern w:val="0"/>
                  <w:szCs w:val="24"/>
                  <w:u w:val="single"/>
                  <w:lang w:eastAsia="es-ES"/>
                </w:rPr>
                <w:t>159</w:t>
              </w:r>
            </w:hyperlink>
            <w:r w:rsidRPr="00DD7418">
              <w:rPr>
                <w:rFonts w:ascii="Georgia" w:eastAsia="Times New Roman" w:hAnsi="Georgia" w:cs="Times New Roman"/>
                <w:kern w:val="0"/>
                <w:szCs w:val="24"/>
                <w:lang w:eastAsia="es-ES"/>
              </w:rPr>
              <w:t xml:space="preserve"> y </w:t>
            </w:r>
            <w:hyperlink r:id="rId40" w:anchor="160" w:tgtFrame="_blank" w:history="1">
              <w:r w:rsidRPr="00DD7418">
                <w:rPr>
                  <w:rFonts w:ascii="Georgia" w:eastAsia="Times New Roman" w:hAnsi="Georgia" w:cs="Times New Roman"/>
                  <w:color w:val="000000"/>
                  <w:kern w:val="0"/>
                  <w:szCs w:val="24"/>
                  <w:u w:val="single"/>
                  <w:lang w:eastAsia="es-ES"/>
                </w:rPr>
                <w:t>160</w:t>
              </w:r>
            </w:hyperlink>
            <w:r w:rsidRPr="00DD7418">
              <w:rPr>
                <w:rFonts w:ascii="Georgia" w:eastAsia="Times New Roman" w:hAnsi="Georgia" w:cs="Times New Roman"/>
                <w:kern w:val="0"/>
                <w:szCs w:val="24"/>
                <w:lang w:eastAsia="es-ES"/>
              </w:rPr>
              <w:t xml:space="preserve"> de este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En los casos de legalización planteados en el presente artículo, los trámites de evaluación, visita de </w:t>
            </w:r>
            <w:proofErr w:type="spellStart"/>
            <w:r w:rsidRPr="00DD7418">
              <w:rPr>
                <w:rFonts w:ascii="Georgia" w:eastAsia="Times New Roman" w:hAnsi="Georgia" w:cs="Times New Roman"/>
                <w:kern w:val="0"/>
                <w:szCs w:val="24"/>
                <w:lang w:eastAsia="es-ES"/>
              </w:rPr>
              <w:t>viabilización</w:t>
            </w:r>
            <w:proofErr w:type="spellEnd"/>
            <w:r w:rsidRPr="00DD7418">
              <w:rPr>
                <w:rFonts w:ascii="Georgia" w:eastAsia="Times New Roman" w:hAnsi="Georgia" w:cs="Times New Roman"/>
                <w:kern w:val="0"/>
                <w:szCs w:val="24"/>
                <w:lang w:eastAsia="es-ES"/>
              </w:rPr>
              <w:t xml:space="preserve"> y adjudicación de la concesión, se efectuarán de manera gratuita por parte de la Autoridad Minera, quien destinará los recursos necesarios para la realización de estos. Sin embargo los estudios (PTO y PMA) requeridos para la ejecución de la concesión estarán a cargo de los solicitantes.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2o.</w:t>
            </w:r>
            <w:r w:rsidRPr="00DD7418">
              <w:rPr>
                <w:rFonts w:ascii="Georgia" w:eastAsia="Times New Roman" w:hAnsi="Georgia" w:cs="Times New Roman"/>
                <w:kern w:val="0"/>
                <w:szCs w:val="24"/>
                <w:lang w:eastAsia="es-ES"/>
              </w:rPr>
              <w:t xml:space="preserve"> Se considerará legal el barequeo consistente en extracción de materiales de arrastre, siempre y cuando se realice con herramientas no mecanizadas y con una extracción que no supere un volumen de 10 metros cúbicos por día, por longitud de rivera de 200 metros de largo. </w:t>
            </w:r>
          </w:p>
          <w:p w:rsidR="00DD7418" w:rsidRPr="00DD7418" w:rsidRDefault="00DD7418" w:rsidP="00DD7418">
            <w:pPr>
              <w:spacing w:after="0"/>
              <w:rPr>
                <w:rFonts w:ascii="Georgia" w:eastAsia="Times New Roman" w:hAnsi="Georgia" w:cs="Times New Roman"/>
                <w:kern w:val="0"/>
                <w:szCs w:val="24"/>
                <w:lang w:eastAsia="es-ES"/>
              </w:rPr>
            </w:pPr>
            <w:bookmarkStart w:id="12" w:name="13"/>
            <w:bookmarkEnd w:id="12"/>
            <w:r w:rsidRPr="00DD7418">
              <w:rPr>
                <w:rFonts w:ascii="Georgia" w:eastAsia="Times New Roman" w:hAnsi="Georgia" w:cs="Times New Roman"/>
                <w:color w:val="000080"/>
                <w:kern w:val="0"/>
                <w:szCs w:val="24"/>
                <w:lang w:eastAsia="es-ES"/>
              </w:rPr>
              <w:t>ARTÍCULO 13.</w:t>
            </w:r>
            <w:r w:rsidRPr="00DD7418">
              <w:rPr>
                <w:rFonts w:ascii="Georgia" w:eastAsia="Times New Roman" w:hAnsi="Georgia" w:cs="Times New Roman"/>
                <w:kern w:val="0"/>
                <w:szCs w:val="24"/>
                <w:lang w:eastAsia="es-ES"/>
              </w:rPr>
              <w:t xml:space="preserve"> Modifíquese el artículo </w:t>
            </w:r>
            <w:hyperlink r:id="rId41" w:anchor="205" w:tgtFrame="_blank" w:history="1">
              <w:r w:rsidRPr="00DD7418">
                <w:rPr>
                  <w:rFonts w:ascii="Georgia" w:eastAsia="Times New Roman" w:hAnsi="Georgia" w:cs="Times New Roman"/>
                  <w:color w:val="000000"/>
                  <w:kern w:val="0"/>
                  <w:szCs w:val="24"/>
                  <w:u w:val="single"/>
                  <w:lang w:eastAsia="es-ES"/>
                </w:rPr>
                <w:t>205</w:t>
              </w:r>
            </w:hyperlink>
            <w:r w:rsidRPr="00DD7418">
              <w:rPr>
                <w:rFonts w:ascii="Georgia" w:eastAsia="Times New Roman" w:hAnsi="Georgia" w:cs="Times New Roman"/>
                <w:kern w:val="0"/>
                <w:szCs w:val="24"/>
                <w:lang w:eastAsia="es-ES"/>
              </w:rPr>
              <w:t xml:space="preserve"> del Código de Minas, Ley 685 de 2001,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Licencia ambiental. </w:t>
            </w:r>
            <w:r w:rsidRPr="00DD7418">
              <w:rPr>
                <w:rFonts w:ascii="Georgia" w:eastAsia="Times New Roman" w:hAnsi="Georgia" w:cs="Times New Roman"/>
                <w:kern w:val="0"/>
                <w:szCs w:val="24"/>
                <w:lang w:eastAsia="es-ES"/>
              </w:rPr>
              <w:t xml:space="preserve">Con base en el Estudio de Impacto Ambiental, la autoridad competente otorgará o no la Licencia Ambiental para la construcción, el montaje, la exploración cuando requiera la construcción de vías que a su vez deban tramitar licencia ambiental, la explotación objeto del contrato y el beneficio y para las labores adicionales de exploración durante la etapa de explotación. Dicha autoridad podrá fundamentar su decisión en el concepto que al Estudio de Impacto Ambiental hubiere dado un auditor externo en la forma prevista en el artículo </w:t>
            </w:r>
            <w:hyperlink r:id="rId42" w:anchor="216" w:tgtFrame="_blank" w:history="1">
              <w:r w:rsidRPr="00DD7418">
                <w:rPr>
                  <w:rFonts w:ascii="Georgia" w:eastAsia="Times New Roman" w:hAnsi="Georgia" w:cs="Times New Roman"/>
                  <w:color w:val="000000"/>
                  <w:kern w:val="0"/>
                  <w:szCs w:val="24"/>
                  <w:u w:val="single"/>
                  <w:lang w:eastAsia="es-ES"/>
                </w:rPr>
                <w:t>216</w:t>
              </w:r>
            </w:hyperlink>
            <w:r w:rsidRPr="00DD7418">
              <w:rPr>
                <w:rFonts w:ascii="Georgia" w:eastAsia="Times New Roman" w:hAnsi="Georgia" w:cs="Times New Roman"/>
                <w:kern w:val="0"/>
                <w:szCs w:val="24"/>
                <w:lang w:eastAsia="es-ES"/>
              </w:rPr>
              <w:t xml:space="preserve"> del presente Código. </w:t>
            </w:r>
          </w:p>
          <w:p w:rsidR="00DD7418" w:rsidRPr="00DD7418" w:rsidRDefault="00DD7418" w:rsidP="00DD7418">
            <w:pPr>
              <w:spacing w:after="0"/>
              <w:rPr>
                <w:rFonts w:ascii="Georgia" w:eastAsia="Times New Roman" w:hAnsi="Georgia" w:cs="Times New Roman"/>
                <w:kern w:val="0"/>
                <w:szCs w:val="24"/>
                <w:lang w:eastAsia="es-ES"/>
              </w:rPr>
            </w:pPr>
            <w:bookmarkStart w:id="13" w:name="14"/>
            <w:bookmarkEnd w:id="13"/>
            <w:r w:rsidRPr="00DD7418">
              <w:rPr>
                <w:rFonts w:ascii="Georgia" w:eastAsia="Times New Roman" w:hAnsi="Georgia" w:cs="Times New Roman"/>
                <w:color w:val="000080"/>
                <w:kern w:val="0"/>
                <w:szCs w:val="24"/>
                <w:lang w:eastAsia="es-ES"/>
              </w:rPr>
              <w:t>ARTÍCULO 14.</w:t>
            </w:r>
            <w:r w:rsidRPr="00DD7418">
              <w:rPr>
                <w:rFonts w:ascii="Georgia" w:eastAsia="Times New Roman" w:hAnsi="Georgia" w:cs="Times New Roman"/>
                <w:kern w:val="0"/>
                <w:szCs w:val="24"/>
                <w:lang w:eastAsia="es-ES"/>
              </w:rPr>
              <w:t xml:space="preserve"> Modifíquese el artículo </w:t>
            </w:r>
            <w:hyperlink r:id="rId43" w:anchor="206" w:tgtFrame="_blank" w:history="1">
              <w:r w:rsidRPr="00DD7418">
                <w:rPr>
                  <w:rFonts w:ascii="Georgia" w:eastAsia="Times New Roman" w:hAnsi="Georgia" w:cs="Times New Roman"/>
                  <w:color w:val="000000"/>
                  <w:kern w:val="0"/>
                  <w:szCs w:val="24"/>
                  <w:u w:val="single"/>
                  <w:lang w:eastAsia="es-ES"/>
                </w:rPr>
                <w:t>206</w:t>
              </w:r>
            </w:hyperlink>
            <w:r w:rsidRPr="00DD7418">
              <w:rPr>
                <w:rFonts w:ascii="Georgia" w:eastAsia="Times New Roman" w:hAnsi="Georgia" w:cs="Times New Roman"/>
                <w:kern w:val="0"/>
                <w:szCs w:val="24"/>
                <w:lang w:eastAsia="es-ES"/>
              </w:rPr>
              <w:t xml:space="preserve"> del Código de Minas, Ley 685 de 2001,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Requisito ambiental. </w:t>
            </w:r>
            <w:r w:rsidRPr="00DD7418">
              <w:rPr>
                <w:rFonts w:ascii="Georgia" w:eastAsia="Times New Roman" w:hAnsi="Georgia" w:cs="Times New Roman"/>
                <w:kern w:val="0"/>
                <w:szCs w:val="24"/>
                <w:lang w:eastAsia="es-ES"/>
              </w:rPr>
              <w:t xml:space="preserve">Para las obras y trabajos de la explotación temprana, el interesado deberá obtener Licencia Ambiental, que posteriormente podrá, a juicio de la autoridad ambiental, ser modificada para amparar los trabajos definitivos de explotación con el lleno de los requisitos legales. </w:t>
            </w:r>
          </w:p>
          <w:p w:rsidR="00DD7418" w:rsidRPr="00DD7418" w:rsidRDefault="00DD7418" w:rsidP="00DD7418">
            <w:pPr>
              <w:spacing w:after="0"/>
              <w:rPr>
                <w:rFonts w:ascii="Georgia" w:eastAsia="Times New Roman" w:hAnsi="Georgia" w:cs="Times New Roman"/>
                <w:kern w:val="0"/>
                <w:szCs w:val="24"/>
                <w:lang w:eastAsia="es-ES"/>
              </w:rPr>
            </w:pPr>
            <w:bookmarkStart w:id="14" w:name="15"/>
            <w:bookmarkEnd w:id="14"/>
            <w:r w:rsidRPr="00DD7418">
              <w:rPr>
                <w:rFonts w:ascii="Georgia" w:eastAsia="Times New Roman" w:hAnsi="Georgia" w:cs="Times New Roman"/>
                <w:color w:val="000080"/>
                <w:kern w:val="0"/>
                <w:szCs w:val="24"/>
                <w:lang w:eastAsia="es-ES"/>
              </w:rPr>
              <w:t>ARTÍCULO 15.</w:t>
            </w:r>
            <w:r w:rsidRPr="00DD7418">
              <w:rPr>
                <w:rFonts w:ascii="Georgia" w:eastAsia="Times New Roman" w:hAnsi="Georgia" w:cs="Times New Roman"/>
                <w:kern w:val="0"/>
                <w:szCs w:val="24"/>
                <w:lang w:eastAsia="es-ES"/>
              </w:rPr>
              <w:t xml:space="preserve"> Modifíquese el artículo </w:t>
            </w:r>
            <w:hyperlink r:id="rId44" w:anchor="212" w:tgtFrame="_blank" w:history="1">
              <w:r w:rsidRPr="00DD7418">
                <w:rPr>
                  <w:rFonts w:ascii="Georgia" w:eastAsia="Times New Roman" w:hAnsi="Georgia" w:cs="Times New Roman"/>
                  <w:color w:val="000000"/>
                  <w:kern w:val="0"/>
                  <w:szCs w:val="24"/>
                  <w:u w:val="single"/>
                  <w:lang w:eastAsia="es-ES"/>
                </w:rPr>
                <w:t>212</w:t>
              </w:r>
            </w:hyperlink>
            <w:r w:rsidRPr="00DD7418">
              <w:rPr>
                <w:rFonts w:ascii="Georgia" w:eastAsia="Times New Roman" w:hAnsi="Georgia" w:cs="Times New Roman"/>
                <w:kern w:val="0"/>
                <w:szCs w:val="24"/>
                <w:lang w:eastAsia="es-ES"/>
              </w:rPr>
              <w:t xml:space="preserve"> del Código de Minas, Ley 685 de 2001,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Estudios y licencias conjuntas. </w:t>
            </w:r>
            <w:r w:rsidRPr="00DD7418">
              <w:rPr>
                <w:rFonts w:ascii="Georgia" w:eastAsia="Times New Roman" w:hAnsi="Georgia" w:cs="Times New Roman"/>
                <w:kern w:val="0"/>
                <w:szCs w:val="24"/>
                <w:lang w:eastAsia="es-ES"/>
              </w:rPr>
              <w:t xml:space="preserve">Los beneficiarios de áreas vecinas o aledañas, estén o no incluidas en un plan conjunto de exploración y explotación, podrán realizar, si así lo requieren, el Estudio de Impacto Ambiental ordenado en este Código, para las obras de infraestructura, el montaje y la explotación de dichas áreas, en forma conjunta si esta fuere exigible. Si las condiciones y características de dichas áreas fueren homogéneas o similares, podrán pedir además el otorgamiento de una Licencia Ambiental Conjunta. La gestión ambiental incluida en la Licencia, podrá contener medidas específicas acordes con la ubicación singular y concreta del área de cada concesión. En este caso, los </w:t>
            </w:r>
            <w:r w:rsidRPr="00DD7418">
              <w:rPr>
                <w:rFonts w:ascii="Georgia" w:eastAsia="Times New Roman" w:hAnsi="Georgia" w:cs="Times New Roman"/>
                <w:kern w:val="0"/>
                <w:szCs w:val="24"/>
                <w:lang w:eastAsia="es-ES"/>
              </w:rPr>
              <w:lastRenderedPageBreak/>
              <w:t xml:space="preserve">beneficiarios deberán responder solidariamente por el cumplimiento de las obligaciones establecidas en la licencia. </w:t>
            </w:r>
          </w:p>
          <w:p w:rsidR="00DD7418" w:rsidRPr="00DD7418" w:rsidRDefault="00DD7418" w:rsidP="00DD7418">
            <w:pPr>
              <w:spacing w:after="0"/>
              <w:rPr>
                <w:rFonts w:ascii="Georgia" w:eastAsia="Times New Roman" w:hAnsi="Georgia" w:cs="Times New Roman"/>
                <w:kern w:val="0"/>
                <w:szCs w:val="24"/>
                <w:lang w:eastAsia="es-ES"/>
              </w:rPr>
            </w:pPr>
            <w:bookmarkStart w:id="15" w:name="16"/>
            <w:bookmarkEnd w:id="15"/>
            <w:r w:rsidRPr="00DD7418">
              <w:rPr>
                <w:rFonts w:ascii="Georgia" w:eastAsia="Times New Roman" w:hAnsi="Georgia" w:cs="Times New Roman"/>
                <w:color w:val="000080"/>
                <w:kern w:val="0"/>
                <w:szCs w:val="24"/>
                <w:lang w:eastAsia="es-ES"/>
              </w:rPr>
              <w:t>ARTÍCULO 16.</w:t>
            </w:r>
            <w:r w:rsidRPr="00DD7418">
              <w:rPr>
                <w:rFonts w:ascii="Georgia" w:eastAsia="Times New Roman" w:hAnsi="Georgia" w:cs="Times New Roman"/>
                <w:kern w:val="0"/>
                <w:szCs w:val="24"/>
                <w:lang w:eastAsia="es-ES"/>
              </w:rPr>
              <w:t xml:space="preserve"> Modifíquese el artículo </w:t>
            </w:r>
            <w:hyperlink r:id="rId45" w:anchor="230" w:tgtFrame="_blank" w:history="1">
              <w:r w:rsidRPr="00DD7418">
                <w:rPr>
                  <w:rFonts w:ascii="Georgia" w:eastAsia="Times New Roman" w:hAnsi="Georgia" w:cs="Times New Roman"/>
                  <w:color w:val="000000"/>
                  <w:kern w:val="0"/>
                  <w:szCs w:val="24"/>
                  <w:u w:val="single"/>
                  <w:lang w:eastAsia="es-ES"/>
                </w:rPr>
                <w:t>230</w:t>
              </w:r>
            </w:hyperlink>
            <w:r w:rsidRPr="00DD7418">
              <w:rPr>
                <w:rFonts w:ascii="Georgia" w:eastAsia="Times New Roman" w:hAnsi="Georgia" w:cs="Times New Roman"/>
                <w:kern w:val="0"/>
                <w:szCs w:val="24"/>
                <w:lang w:eastAsia="es-ES"/>
              </w:rPr>
              <w:t xml:space="preserve"> de la Ley 685 de 2001, Código de Minas: </w:t>
            </w:r>
          </w:p>
          <w:p w:rsidR="00DD7418" w:rsidRPr="007A584B" w:rsidRDefault="00DD7418" w:rsidP="00DD7418">
            <w:pPr>
              <w:spacing w:after="0"/>
              <w:rPr>
                <w:rFonts w:ascii="Georgia" w:eastAsia="Times New Roman" w:hAnsi="Georgia" w:cs="Times New Roman"/>
                <w:kern w:val="0"/>
                <w:szCs w:val="24"/>
                <w:highlight w:val="green"/>
                <w:lang w:eastAsia="es-ES"/>
              </w:rPr>
            </w:pPr>
            <w:r w:rsidRPr="007A584B">
              <w:rPr>
                <w:rFonts w:ascii="Georgia" w:eastAsia="Times New Roman" w:hAnsi="Georgia" w:cs="Times New Roman"/>
                <w:b/>
                <w:bCs/>
                <w:i/>
                <w:iCs/>
                <w:kern w:val="0"/>
                <w:szCs w:val="24"/>
                <w:highlight w:val="green"/>
                <w:lang w:eastAsia="es-ES"/>
              </w:rPr>
              <w:t xml:space="preserve">Canon superficiario. </w:t>
            </w:r>
            <w:r w:rsidRPr="007A584B">
              <w:rPr>
                <w:rFonts w:ascii="Georgia" w:eastAsia="Times New Roman" w:hAnsi="Georgia" w:cs="Times New Roman"/>
                <w:kern w:val="0"/>
                <w:szCs w:val="24"/>
                <w:highlight w:val="green"/>
                <w:lang w:eastAsia="es-ES"/>
              </w:rPr>
              <w:t>El canon superficiario sobre la totalidad del área de la concesión durante la exploración, el montaje y construcción o sobre las extensiones de la misma que el contratista retenga para explorar durante el período de explotación, es compatible con la regalía y constituye una contraprestación que se cobrará por la entidad contratante sin consideración a quien tenga la propiedad o posesión de los terrenos de ubicación del contrato. El mencionado canon será equivalente a un salario mínimo día legal vigente (</w:t>
            </w:r>
            <w:proofErr w:type="spellStart"/>
            <w:r w:rsidRPr="007A584B">
              <w:rPr>
                <w:rFonts w:ascii="Georgia" w:eastAsia="Times New Roman" w:hAnsi="Georgia" w:cs="Times New Roman"/>
                <w:kern w:val="0"/>
                <w:szCs w:val="24"/>
                <w:highlight w:val="green"/>
                <w:lang w:eastAsia="es-ES"/>
              </w:rPr>
              <w:t>smdlv</w:t>
            </w:r>
            <w:proofErr w:type="spellEnd"/>
            <w:r w:rsidRPr="007A584B">
              <w:rPr>
                <w:rFonts w:ascii="Georgia" w:eastAsia="Times New Roman" w:hAnsi="Georgia" w:cs="Times New Roman"/>
                <w:kern w:val="0"/>
                <w:szCs w:val="24"/>
                <w:highlight w:val="green"/>
                <w:lang w:eastAsia="es-ES"/>
              </w:rPr>
              <w:t xml:space="preserve">) por hectárea año, del primero al quinto año; de ahí en adelante el canon será incrementado cada dos (2) años adicionales así: por los años 6 y 7 se pagarán 1.25 salarios mínimos día legal vigente por hectárea año; por el año 8, 1.5 salarios mínimos día legal vigente por hectárea año. </w:t>
            </w:r>
          </w:p>
          <w:p w:rsidR="00DD7418" w:rsidRPr="00DD7418" w:rsidRDefault="00DD7418" w:rsidP="00DD7418">
            <w:pPr>
              <w:spacing w:after="0"/>
              <w:rPr>
                <w:rFonts w:ascii="Georgia" w:eastAsia="Times New Roman" w:hAnsi="Georgia" w:cs="Times New Roman"/>
                <w:kern w:val="0"/>
                <w:szCs w:val="24"/>
                <w:lang w:eastAsia="es-ES"/>
              </w:rPr>
            </w:pPr>
            <w:r w:rsidRPr="007A584B">
              <w:rPr>
                <w:rFonts w:ascii="Georgia" w:eastAsia="Times New Roman" w:hAnsi="Georgia" w:cs="Times New Roman"/>
                <w:kern w:val="0"/>
                <w:szCs w:val="24"/>
                <w:highlight w:val="green"/>
                <w:lang w:eastAsia="es-ES"/>
              </w:rPr>
              <w:t>Dicho canon será pagadero por anualidades anticipadas. La primera anualidad se pagará dentro de los tres (3) días siguientes al momento en que la Autoridad Minera, mediante acto administrativo, determine el área libre susceptible de contratar.</w:t>
            </w:r>
            <w:r w:rsidRPr="00DD7418">
              <w:rPr>
                <w:rFonts w:ascii="Georgia" w:eastAsia="Times New Roman" w:hAnsi="Georgia" w:cs="Times New Roman"/>
                <w:kern w:val="0"/>
                <w:szCs w:val="24"/>
                <w:lang w:eastAsia="es-ES"/>
              </w:rPr>
              <w:t xml:space="preserve">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Para las etapas de construcción y montaje o exploración adicional, se continuará cancelando el último canon pagado durante la etapa de exploración.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1o.</w:t>
            </w:r>
            <w:r w:rsidRPr="00DD7418">
              <w:rPr>
                <w:rFonts w:ascii="Georgia" w:eastAsia="Times New Roman" w:hAnsi="Georgia" w:cs="Times New Roman"/>
                <w:kern w:val="0"/>
                <w:szCs w:val="24"/>
                <w:lang w:eastAsia="es-ES"/>
              </w:rPr>
              <w:t xml:space="preserve"> La no acreditación del pago del canon superficiario dará lugar al rechazo de la propuesta, o a la declaratoria de caducidad del contrato de concesión, según el caso.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solo podrá disponer del dinero que reciba a título de canon superficiario una vez celebrado el contrato de concesión. Solamente se reintegrará al proponente la suma pagada en caso de rechazo por superposición total o parcial de áreas. En este último evento se reintegrará dentro de los cinco (5) días hábiles, la parte proporcional si acepta el área reducida, contados a partir que el acto administrativo quede en firme. Igualmente habrá reintegro en los casos en que la autoridad ambiental competente niegue la sustracción de la zona de reserva forestal para la etapa de exploración.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 2o.</w:t>
            </w:r>
            <w:r w:rsidRPr="00DD7418">
              <w:rPr>
                <w:rFonts w:ascii="Georgia" w:eastAsia="Times New Roman" w:hAnsi="Georgia" w:cs="Times New Roman"/>
                <w:kern w:val="0"/>
                <w:szCs w:val="24"/>
                <w:lang w:eastAsia="es-ES"/>
              </w:rPr>
              <w:t xml:space="preserve"> Las propuestas que a la fecha de entrada en vigencia de la presente ley se encuentren en trámite y los títulos mineros que no hubieren pagado el canon correspondiente a la primera anualidad, deberán acreditar dicho pago dentro de los tres (3) meses siguientes a la promulgación de la presente ley, so pena de rechazo o caducidad, según corresponda. </w:t>
            </w:r>
          </w:p>
          <w:p w:rsidR="00DD7418" w:rsidRPr="00DD7418" w:rsidRDefault="00DD7418" w:rsidP="00DD7418">
            <w:pPr>
              <w:spacing w:after="0"/>
              <w:rPr>
                <w:rFonts w:ascii="Georgia" w:eastAsia="Times New Roman" w:hAnsi="Georgia" w:cs="Times New Roman"/>
                <w:kern w:val="0"/>
                <w:szCs w:val="24"/>
                <w:lang w:eastAsia="es-ES"/>
              </w:rPr>
            </w:pPr>
            <w:bookmarkStart w:id="16" w:name="17"/>
            <w:bookmarkEnd w:id="16"/>
            <w:r w:rsidRPr="00DD7418">
              <w:rPr>
                <w:rFonts w:ascii="Georgia" w:eastAsia="Times New Roman" w:hAnsi="Georgia" w:cs="Times New Roman"/>
                <w:color w:val="000080"/>
                <w:kern w:val="0"/>
                <w:szCs w:val="24"/>
                <w:lang w:eastAsia="es-ES"/>
              </w:rPr>
              <w:t>ARTÍCULO 17.</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inciso 1o del artículo </w:t>
            </w:r>
            <w:hyperlink r:id="rId46" w:anchor="270" w:tgtFrame="_blank" w:history="1">
              <w:r w:rsidRPr="00DD7418">
                <w:rPr>
                  <w:rFonts w:ascii="Georgia" w:eastAsia="Times New Roman" w:hAnsi="Georgia" w:cs="Times New Roman"/>
                  <w:color w:val="000000"/>
                  <w:kern w:val="0"/>
                  <w:szCs w:val="24"/>
                  <w:u w:val="single"/>
                  <w:lang w:eastAsia="es-ES"/>
                </w:rPr>
                <w:t>270</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Presentación de la propuesta. </w:t>
            </w:r>
            <w:r w:rsidRPr="00DD7418">
              <w:rPr>
                <w:rFonts w:ascii="Georgia" w:eastAsia="Times New Roman" w:hAnsi="Georgia" w:cs="Times New Roman"/>
                <w:kern w:val="0"/>
                <w:szCs w:val="24"/>
                <w:lang w:eastAsia="es-ES"/>
              </w:rPr>
              <w:t xml:space="preserve">La propuesta de contrato se presentará personalmente por el interesado o su apoderado, ante la oficina de la Autoridad Minera competente en la jurisdicción del área de la propuesta. </w:t>
            </w:r>
          </w:p>
          <w:p w:rsidR="00DD7418" w:rsidRPr="00DD7418" w:rsidRDefault="00DD7418" w:rsidP="00DD7418">
            <w:pPr>
              <w:spacing w:after="0"/>
              <w:rPr>
                <w:rFonts w:ascii="Georgia" w:eastAsia="Times New Roman" w:hAnsi="Georgia" w:cs="Times New Roman"/>
                <w:kern w:val="0"/>
                <w:szCs w:val="24"/>
                <w:lang w:eastAsia="es-ES"/>
              </w:rPr>
            </w:pPr>
            <w:bookmarkStart w:id="17" w:name="18"/>
            <w:bookmarkEnd w:id="17"/>
            <w:r w:rsidRPr="00DD7418">
              <w:rPr>
                <w:rFonts w:ascii="Georgia" w:eastAsia="Times New Roman" w:hAnsi="Georgia" w:cs="Times New Roman"/>
                <w:color w:val="000080"/>
                <w:kern w:val="0"/>
                <w:szCs w:val="24"/>
                <w:lang w:eastAsia="es-ES"/>
              </w:rPr>
              <w:t>ARTÍCULO 18.</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al artículo </w:t>
            </w:r>
            <w:hyperlink r:id="rId47" w:anchor="271" w:tgtFrame="_blank" w:history="1">
              <w:r w:rsidRPr="00DD7418">
                <w:rPr>
                  <w:rFonts w:ascii="Georgia" w:eastAsia="Times New Roman" w:hAnsi="Georgia" w:cs="Times New Roman"/>
                  <w:color w:val="000000"/>
                  <w:kern w:val="0"/>
                  <w:szCs w:val="24"/>
                  <w:u w:val="single"/>
                  <w:lang w:eastAsia="es-ES"/>
                </w:rPr>
                <w:t>271</w:t>
              </w:r>
            </w:hyperlink>
            <w:r w:rsidRPr="00DD7418">
              <w:rPr>
                <w:rFonts w:ascii="Georgia" w:eastAsia="Times New Roman" w:hAnsi="Georgia" w:cs="Times New Roman"/>
                <w:kern w:val="0"/>
                <w:szCs w:val="24"/>
                <w:lang w:eastAsia="es-ES"/>
              </w:rPr>
              <w:t xml:space="preserve"> de la Ley 685 de 2001, Código de Minas con los siguientes literales: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kern w:val="0"/>
                <w:szCs w:val="24"/>
                <w:lang w:eastAsia="es-ES"/>
              </w:rPr>
              <w:t xml:space="preserve">h) </w:t>
            </w:r>
            <w:r w:rsidRPr="00DD7418">
              <w:rPr>
                <w:rFonts w:ascii="Georgia" w:eastAsia="Times New Roman" w:hAnsi="Georgia" w:cs="Times New Roman"/>
                <w:kern w:val="0"/>
                <w:szCs w:val="24"/>
                <w:lang w:eastAsia="es-ES"/>
              </w:rPr>
              <w:t xml:space="preserve">Un anexo técnico que describirá los trabajos de exploración, los cuales deberán ser iguales o superiores a los mínimos definidos por el Ministerio de Minas y Energía, de acuerdo con el área y las características del proyecto minero;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kern w:val="0"/>
                <w:szCs w:val="24"/>
                <w:lang w:eastAsia="es-ES"/>
              </w:rPr>
              <w:t xml:space="preserve">i) </w:t>
            </w:r>
            <w:r w:rsidRPr="00DD7418">
              <w:rPr>
                <w:rFonts w:ascii="Georgia" w:eastAsia="Times New Roman" w:hAnsi="Georgia" w:cs="Times New Roman"/>
                <w:kern w:val="0"/>
                <w:szCs w:val="24"/>
                <w:lang w:eastAsia="es-ES"/>
              </w:rPr>
              <w:t xml:space="preserve">Cuando se trate de proyectos de más de ciento cincuenta (150) hectáreas, la demostración de la capacidad económica del interesado para adelantar el proyecto minero se hará con sujeción a los parámetros que fije el Ministerio de </w:t>
            </w:r>
            <w:r w:rsidRPr="00DD7418">
              <w:rPr>
                <w:rFonts w:ascii="Georgia" w:eastAsia="Times New Roman" w:hAnsi="Georgia" w:cs="Times New Roman"/>
                <w:kern w:val="0"/>
                <w:szCs w:val="24"/>
                <w:lang w:eastAsia="es-ES"/>
              </w:rPr>
              <w:lastRenderedPageBreak/>
              <w:t xml:space="preserve">Minas y Energía, los cuales serán proporcionales al área solicitada. </w:t>
            </w:r>
          </w:p>
          <w:p w:rsidR="00DD7418" w:rsidRPr="00DD7418" w:rsidRDefault="00DD7418" w:rsidP="00DD7418">
            <w:pPr>
              <w:spacing w:after="0"/>
              <w:rPr>
                <w:rFonts w:ascii="Georgia" w:eastAsia="Times New Roman" w:hAnsi="Georgia" w:cs="Times New Roman"/>
                <w:kern w:val="0"/>
                <w:szCs w:val="24"/>
                <w:lang w:eastAsia="es-ES"/>
              </w:rPr>
            </w:pPr>
            <w:bookmarkStart w:id="18" w:name="19"/>
            <w:bookmarkEnd w:id="18"/>
            <w:r w:rsidRPr="00DD7418">
              <w:rPr>
                <w:rFonts w:ascii="Georgia" w:eastAsia="Times New Roman" w:hAnsi="Georgia" w:cs="Times New Roman"/>
                <w:color w:val="000080"/>
                <w:kern w:val="0"/>
                <w:szCs w:val="24"/>
                <w:lang w:eastAsia="es-ES"/>
              </w:rPr>
              <w:t>ARTÍCULO 19.</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artículo </w:t>
            </w:r>
            <w:hyperlink r:id="rId48" w:anchor="273" w:tgtFrame="_blank" w:history="1">
              <w:r w:rsidRPr="00DD7418">
                <w:rPr>
                  <w:rFonts w:ascii="Georgia" w:eastAsia="Times New Roman" w:hAnsi="Georgia" w:cs="Times New Roman"/>
                  <w:color w:val="000000"/>
                  <w:kern w:val="0"/>
                  <w:szCs w:val="24"/>
                  <w:u w:val="single"/>
                  <w:lang w:eastAsia="es-ES"/>
                </w:rPr>
                <w:t>273</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Objeciones a la propuesta. </w:t>
            </w:r>
            <w:r w:rsidRPr="00DD7418">
              <w:rPr>
                <w:rFonts w:ascii="Georgia" w:eastAsia="Times New Roman" w:hAnsi="Georgia" w:cs="Times New Roman"/>
                <w:kern w:val="0"/>
                <w:szCs w:val="24"/>
                <w:lang w:eastAsia="es-ES"/>
              </w:rPr>
              <w:t xml:space="preserve">La propuesta se podrá corregir o adicionar, por una sola vez, por parte del peticionario y por orden de la Autoridad Minera, en aquellos casos que no estén contemplados como causales de rechazo por el artículo </w:t>
            </w:r>
            <w:hyperlink r:id="rId49" w:anchor="274" w:tgtFrame="_blank" w:history="1">
              <w:r w:rsidRPr="00DD7418">
                <w:rPr>
                  <w:rFonts w:ascii="Georgia" w:eastAsia="Times New Roman" w:hAnsi="Georgia" w:cs="Times New Roman"/>
                  <w:color w:val="000000"/>
                  <w:kern w:val="0"/>
                  <w:szCs w:val="24"/>
                  <w:u w:val="single"/>
                  <w:lang w:eastAsia="es-ES"/>
                </w:rPr>
                <w:t>274</w:t>
              </w:r>
            </w:hyperlink>
            <w:r w:rsidRPr="00DD7418">
              <w:rPr>
                <w:rFonts w:ascii="Georgia" w:eastAsia="Times New Roman" w:hAnsi="Georgia" w:cs="Times New Roman"/>
                <w:kern w:val="0"/>
                <w:szCs w:val="24"/>
                <w:lang w:eastAsia="es-ES"/>
              </w:rPr>
              <w:t xml:space="preserve"> de este Código. El término para corregir o subsanar la propuesta será hasta de treinta (30) días y la Autoridad Minera contará con un plazo hasta de treinta (30) días para resolver definitivamente. </w:t>
            </w:r>
          </w:p>
          <w:p w:rsidR="00DD7418" w:rsidRPr="00DD7418" w:rsidRDefault="00DD7418" w:rsidP="00DD7418">
            <w:pPr>
              <w:spacing w:after="0"/>
              <w:rPr>
                <w:rFonts w:ascii="Georgia" w:eastAsia="Times New Roman" w:hAnsi="Georgia" w:cs="Times New Roman"/>
                <w:kern w:val="0"/>
                <w:szCs w:val="24"/>
                <w:lang w:eastAsia="es-ES"/>
              </w:rPr>
            </w:pPr>
            <w:bookmarkStart w:id="19" w:name="20"/>
            <w:bookmarkEnd w:id="19"/>
            <w:r w:rsidRPr="00DD7418">
              <w:rPr>
                <w:rFonts w:ascii="Georgia" w:eastAsia="Times New Roman" w:hAnsi="Georgia" w:cs="Times New Roman"/>
                <w:color w:val="000080"/>
                <w:kern w:val="0"/>
                <w:szCs w:val="24"/>
                <w:lang w:eastAsia="es-ES"/>
              </w:rPr>
              <w:t>ARTÍCULO 20.</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artículo </w:t>
            </w:r>
            <w:hyperlink r:id="rId50" w:anchor="274" w:tgtFrame="_blank" w:history="1">
              <w:r w:rsidRPr="00DD7418">
                <w:rPr>
                  <w:rFonts w:ascii="Georgia" w:eastAsia="Times New Roman" w:hAnsi="Georgia" w:cs="Times New Roman"/>
                  <w:color w:val="000000"/>
                  <w:kern w:val="0"/>
                  <w:szCs w:val="24"/>
                  <w:u w:val="single"/>
                  <w:lang w:eastAsia="es-ES"/>
                </w:rPr>
                <w:t>274</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i/>
                <w:iCs/>
                <w:kern w:val="0"/>
                <w:szCs w:val="24"/>
                <w:lang w:eastAsia="es-ES"/>
              </w:rPr>
              <w:t xml:space="preserve">Rechazo de la propuesta. </w:t>
            </w:r>
            <w:r w:rsidRPr="00DD7418">
              <w:rPr>
                <w:rFonts w:ascii="Georgia" w:eastAsia="Times New Roman" w:hAnsi="Georgia" w:cs="Times New Roman"/>
                <w:kern w:val="0"/>
                <w:szCs w:val="24"/>
                <w:lang w:eastAsia="es-ES"/>
              </w:rPr>
              <w:t xml:space="preserve">La propuesta será rechazada en los siguientes casos: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1. Si el área pedida en su totalidad se hallare ubicada en los lugares y zonas señaladas en el artículo </w:t>
            </w:r>
            <w:hyperlink r:id="rId51" w:anchor="34" w:tgtFrame="_blank" w:history="1">
              <w:r w:rsidRPr="00DD7418">
                <w:rPr>
                  <w:rFonts w:ascii="Georgia" w:eastAsia="Times New Roman" w:hAnsi="Georgia" w:cs="Times New Roman"/>
                  <w:color w:val="000000"/>
                  <w:kern w:val="0"/>
                  <w:szCs w:val="24"/>
                  <w:u w:val="single"/>
                  <w:lang w:eastAsia="es-ES"/>
                </w:rPr>
                <w:t>34</w:t>
              </w:r>
            </w:hyperlink>
            <w:r w:rsidRPr="00DD7418">
              <w:rPr>
                <w:rFonts w:ascii="Georgia" w:eastAsia="Times New Roman" w:hAnsi="Georgia" w:cs="Times New Roman"/>
                <w:kern w:val="0"/>
                <w:szCs w:val="24"/>
                <w:lang w:eastAsia="es-ES"/>
              </w:rPr>
              <w:t xml:space="preserve"> de este Código siempre que no hubiere obtenido las autorizaciones y conceptos que la norma exige.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2. Si se superpone totalmente a propuestas o contratos anteriores.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3. Si no cumple con la presentación de todos los requisitos establecidos en el artículo </w:t>
            </w:r>
            <w:hyperlink r:id="rId52" w:anchor="271" w:tgtFrame="_blank" w:history="1">
              <w:r w:rsidRPr="00DD7418">
                <w:rPr>
                  <w:rFonts w:ascii="Georgia" w:eastAsia="Times New Roman" w:hAnsi="Georgia" w:cs="Times New Roman"/>
                  <w:color w:val="000000"/>
                  <w:kern w:val="0"/>
                  <w:szCs w:val="24"/>
                  <w:u w:val="single"/>
                  <w:lang w:eastAsia="es-ES"/>
                </w:rPr>
                <w:t>271</w:t>
              </w:r>
            </w:hyperlink>
            <w:r w:rsidRPr="00DD7418">
              <w:rPr>
                <w:rFonts w:ascii="Georgia" w:eastAsia="Times New Roman" w:hAnsi="Georgia" w:cs="Times New Roman"/>
                <w:kern w:val="0"/>
                <w:szCs w:val="24"/>
                <w:lang w:eastAsia="es-ES"/>
              </w:rPr>
              <w:t xml:space="preserve"> del presente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4. Si no se cumple el requerimiento de subsanar las deficiencias de la propuesta.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5. Si no se acredita el pago de la primera anualidad del canon superficiario. </w:t>
            </w:r>
          </w:p>
          <w:p w:rsidR="00DD7418" w:rsidRPr="00DD7418" w:rsidRDefault="00DD7418" w:rsidP="00DD7418">
            <w:pPr>
              <w:spacing w:after="0"/>
              <w:rPr>
                <w:rFonts w:ascii="Georgia" w:eastAsia="Times New Roman" w:hAnsi="Georgia" w:cs="Times New Roman"/>
                <w:kern w:val="0"/>
                <w:szCs w:val="24"/>
                <w:lang w:eastAsia="es-ES"/>
              </w:rPr>
            </w:pPr>
            <w:bookmarkStart w:id="20" w:name="21"/>
            <w:bookmarkEnd w:id="20"/>
            <w:r w:rsidRPr="00DD7418">
              <w:rPr>
                <w:rFonts w:ascii="Georgia" w:eastAsia="Times New Roman" w:hAnsi="Georgia" w:cs="Times New Roman"/>
                <w:color w:val="000080"/>
                <w:kern w:val="0"/>
                <w:szCs w:val="24"/>
                <w:lang w:eastAsia="es-ES"/>
              </w:rPr>
              <w:t>ARTÍCULO 21.</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53" w:anchor="280" w:tgtFrame="_blank" w:history="1">
              <w:r w:rsidRPr="00DD7418">
                <w:rPr>
                  <w:rFonts w:ascii="Georgia" w:eastAsia="Times New Roman" w:hAnsi="Georgia" w:cs="Times New Roman"/>
                  <w:color w:val="000000"/>
                  <w:kern w:val="0"/>
                  <w:szCs w:val="24"/>
                  <w:u w:val="single"/>
                  <w:lang w:eastAsia="es-ES"/>
                </w:rPr>
                <w:t>280</w:t>
              </w:r>
            </w:hyperlink>
            <w:r w:rsidRPr="00DD7418">
              <w:rPr>
                <w:rFonts w:ascii="Georgia" w:eastAsia="Times New Roman" w:hAnsi="Georgia" w:cs="Times New Roman"/>
                <w:kern w:val="0"/>
                <w:szCs w:val="24"/>
                <w:lang w:eastAsia="es-ES"/>
              </w:rPr>
              <w:t xml:space="preserve"> de la Ley 685 de 2001, Código de Minas con el siguiente parágrafo: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w:t>
            </w:r>
            <w:r w:rsidRPr="00DD7418">
              <w:rPr>
                <w:rFonts w:ascii="Georgia" w:eastAsia="Times New Roman" w:hAnsi="Georgia" w:cs="Times New Roman"/>
                <w:kern w:val="0"/>
                <w:szCs w:val="24"/>
                <w:lang w:eastAsia="es-ES"/>
              </w:rPr>
              <w:t xml:space="preserve"> En el evento de que existiere dificultad para la constitución de la póliza, esta se podrá sustituir por una garantía real, sea esta personal o de un tercero que aseguren el cumplimiento de las obligaciones mineras y ambientales, el pago de las multas y la caducidad. El Gobierno Nacional podrá reglamentar otros tipos de garantía. </w:t>
            </w:r>
          </w:p>
          <w:p w:rsidR="00DD7418" w:rsidRPr="00DD7418" w:rsidRDefault="00DD7418" w:rsidP="00DD7418">
            <w:pPr>
              <w:spacing w:after="0"/>
              <w:rPr>
                <w:rFonts w:ascii="Georgia" w:eastAsia="Times New Roman" w:hAnsi="Georgia" w:cs="Times New Roman"/>
                <w:kern w:val="0"/>
                <w:szCs w:val="24"/>
                <w:lang w:eastAsia="es-ES"/>
              </w:rPr>
            </w:pPr>
            <w:bookmarkStart w:id="21" w:name="22"/>
            <w:bookmarkEnd w:id="21"/>
            <w:r w:rsidRPr="00DD7418">
              <w:rPr>
                <w:rFonts w:ascii="Georgia" w:eastAsia="Times New Roman" w:hAnsi="Georgia" w:cs="Times New Roman"/>
                <w:color w:val="000080"/>
                <w:kern w:val="0"/>
                <w:szCs w:val="24"/>
                <w:lang w:eastAsia="es-ES"/>
              </w:rPr>
              <w:t>ARTÍCULO 22.</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Modifícase</w:t>
            </w:r>
            <w:proofErr w:type="spellEnd"/>
            <w:r w:rsidRPr="00DD7418">
              <w:rPr>
                <w:rFonts w:ascii="Georgia" w:eastAsia="Times New Roman" w:hAnsi="Georgia" w:cs="Times New Roman"/>
                <w:kern w:val="0"/>
                <w:szCs w:val="24"/>
                <w:lang w:eastAsia="es-ES"/>
              </w:rPr>
              <w:t xml:space="preserve"> el artículo </w:t>
            </w:r>
            <w:hyperlink r:id="rId54" w:anchor="285" w:tgtFrame="_blank" w:history="1">
              <w:r w:rsidRPr="00DD7418">
                <w:rPr>
                  <w:rFonts w:ascii="Georgia" w:eastAsia="Times New Roman" w:hAnsi="Georgia" w:cs="Times New Roman"/>
                  <w:color w:val="000000"/>
                  <w:kern w:val="0"/>
                  <w:szCs w:val="24"/>
                  <w:u w:val="single"/>
                  <w:lang w:eastAsia="es-ES"/>
                </w:rPr>
                <w:t>285</w:t>
              </w:r>
            </w:hyperlink>
            <w:r w:rsidRPr="00DD7418">
              <w:rPr>
                <w:rFonts w:ascii="Georgia" w:eastAsia="Times New Roman" w:hAnsi="Georgia" w:cs="Times New Roman"/>
                <w:kern w:val="0"/>
                <w:szCs w:val="24"/>
                <w:lang w:eastAsia="es-ES"/>
              </w:rPr>
              <w:t xml:space="preserve"> de la Ley 685 de 2001, Código de Minas, el cual quedará así: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i/>
                <w:iCs/>
                <w:kern w:val="0"/>
                <w:szCs w:val="24"/>
                <w:lang w:eastAsia="es-ES"/>
              </w:rPr>
              <w:t xml:space="preserve">Procedimiento administrativo para las servidumbres. </w:t>
            </w:r>
            <w:r w:rsidRPr="00DD7418">
              <w:rPr>
                <w:rFonts w:ascii="Georgia" w:eastAsia="Times New Roman" w:hAnsi="Georgia" w:cs="Times New Roman"/>
                <w:kern w:val="0"/>
                <w:szCs w:val="24"/>
                <w:lang w:eastAsia="es-ES"/>
              </w:rPr>
              <w:t xml:space="preserve">El ejercicio de la servidumbre estará precedido del aviso formal al dueño, poseedor u ocupante del predio sirviente, dado por medio del Alcalde. Este funcionario hará la notificación personal, o en su defecto por medio de un aviso que fijará en un lugar visible del predio durante tres (3) días, de lo cual dejará constancia en la secretaría de la alcaldía. Surtido este aviso, a falta de acuerdo entre las partes se dará aplicación al procedimiento que se señala a continuación.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Para el ejercicio de las servidumbres mineras, el Alcalde ordenará que un perito designado por el Instituto Geográfico Agustín </w:t>
            </w:r>
            <w:proofErr w:type="spellStart"/>
            <w:r w:rsidRPr="00DD7418">
              <w:rPr>
                <w:rFonts w:ascii="Georgia" w:eastAsia="Times New Roman" w:hAnsi="Georgia" w:cs="Times New Roman"/>
                <w:kern w:val="0"/>
                <w:szCs w:val="24"/>
                <w:lang w:eastAsia="es-ES"/>
              </w:rPr>
              <w:t>Codazzi</w:t>
            </w:r>
            <w:proofErr w:type="spellEnd"/>
            <w:r w:rsidRPr="00DD7418">
              <w:rPr>
                <w:rFonts w:ascii="Georgia" w:eastAsia="Times New Roman" w:hAnsi="Georgia" w:cs="Times New Roman"/>
                <w:kern w:val="0"/>
                <w:szCs w:val="24"/>
                <w:lang w:eastAsia="es-ES"/>
              </w:rPr>
              <w:t xml:space="preserve">, o por la Lonja de Propiedad Raíz de la zona de ubicación del predio sirviente, estime dentro de un término de treinta (30) días, el monto de la indemnización de perjuicios correspondiente. Una vez rendido el dictamen, el Alcalde lo acogerá mediante providencia que deberá dictar dentro de los cinco (5) días siguientes. Las costas de dicho peritaje serán a cargo del titular minero.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Si el propietario, poseedor u ocupante del predio sirviente, o el titular minero, pide ante el Alcalde la fijación de caución al minero, el Alcalde la fijará en la misma providencia, en un monto equivalente al de dicha indemnización. Esta caución se regirá en lo pertinente por las normas del Código de Procedimiento Civil, particularmente aquellas señaladas en los artículos </w:t>
            </w:r>
            <w:hyperlink r:id="rId55" w:anchor="678" w:tgtFrame="_blank" w:history="1">
              <w:r w:rsidRPr="00DD7418">
                <w:rPr>
                  <w:rFonts w:ascii="Georgia" w:eastAsia="Times New Roman" w:hAnsi="Georgia" w:cs="Times New Roman"/>
                  <w:color w:val="000000"/>
                  <w:kern w:val="0"/>
                  <w:szCs w:val="24"/>
                  <w:u w:val="single"/>
                  <w:lang w:eastAsia="es-ES"/>
                </w:rPr>
                <w:t>678</w:t>
              </w:r>
            </w:hyperlink>
            <w:r w:rsidRPr="00DD7418">
              <w:rPr>
                <w:rFonts w:ascii="Georgia" w:eastAsia="Times New Roman" w:hAnsi="Georgia" w:cs="Times New Roman"/>
                <w:kern w:val="0"/>
                <w:szCs w:val="24"/>
                <w:lang w:eastAsia="es-ES"/>
              </w:rPr>
              <w:t xml:space="preserve"> y </w:t>
            </w:r>
            <w:hyperlink r:id="rId56" w:anchor="679" w:tgtFrame="_blank" w:history="1">
              <w:r w:rsidRPr="00DD7418">
                <w:rPr>
                  <w:rFonts w:ascii="Georgia" w:eastAsia="Times New Roman" w:hAnsi="Georgia" w:cs="Times New Roman"/>
                  <w:color w:val="000000"/>
                  <w:kern w:val="0"/>
                  <w:szCs w:val="24"/>
                  <w:u w:val="single"/>
                  <w:lang w:eastAsia="es-ES"/>
                </w:rPr>
                <w:t>679</w:t>
              </w:r>
            </w:hyperlink>
            <w:r w:rsidRPr="00DD7418">
              <w:rPr>
                <w:rFonts w:ascii="Georgia" w:eastAsia="Times New Roman" w:hAnsi="Georgia" w:cs="Times New Roman"/>
                <w:kern w:val="0"/>
                <w:szCs w:val="24"/>
                <w:lang w:eastAsia="es-ES"/>
              </w:rPr>
              <w:t xml:space="preserve">, y su devolución se hará en un plazo máximo de treinta (30) días.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decisión adoptada por el Alcalde será apelable ante el Gobernador en el efecto devolutivo y solo se concederá si el interesado acredita la constitución de </w:t>
            </w:r>
            <w:r w:rsidRPr="00DD7418">
              <w:rPr>
                <w:rFonts w:ascii="Georgia" w:eastAsia="Times New Roman" w:hAnsi="Georgia" w:cs="Times New Roman"/>
                <w:kern w:val="0"/>
                <w:szCs w:val="24"/>
                <w:lang w:eastAsia="es-ES"/>
              </w:rPr>
              <w:lastRenderedPageBreak/>
              <w:t xml:space="preserve">la caución o el pago de la indemnización. Una vez en firme, la cuantía de la caución o de la indemnización podrá ser revisada por el juez del lugar de ubicación del predio, a solicitud de cualquiera de los interesados, mediante el proceso abreviado señalado en los artículos </w:t>
            </w:r>
            <w:hyperlink r:id="rId57" w:anchor="408" w:tgtFrame="_blank" w:history="1">
              <w:r w:rsidRPr="00DD7418">
                <w:rPr>
                  <w:rFonts w:ascii="Georgia" w:eastAsia="Times New Roman" w:hAnsi="Georgia" w:cs="Times New Roman"/>
                  <w:color w:val="000000"/>
                  <w:kern w:val="0"/>
                  <w:szCs w:val="24"/>
                  <w:u w:val="single"/>
                  <w:lang w:eastAsia="es-ES"/>
                </w:rPr>
                <w:t>408</w:t>
              </w:r>
            </w:hyperlink>
            <w:r w:rsidRPr="00DD7418">
              <w:rPr>
                <w:rFonts w:ascii="Georgia" w:eastAsia="Times New Roman" w:hAnsi="Georgia" w:cs="Times New Roman"/>
                <w:kern w:val="0"/>
                <w:szCs w:val="24"/>
                <w:lang w:eastAsia="es-ES"/>
              </w:rPr>
              <w:t xml:space="preserve"> y siguientes del Código de Procedimiento Civil, de acuerdo con las reglas generales de competencia y trámite del mismo Código.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Prestada la caución o pagada la indemnización, el minero podrá, con el auxilio del Alcalde si fuere necesario, ingresar al predio y ocupar las zonas necesarias para sus obras y trabajos.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El acuerdo entre las partes, o, en su defecto, la decisión del Alcalde, deberá registrarse en la Oficina de Instrumentos Públicos competente. </w:t>
            </w:r>
          </w:p>
          <w:p w:rsidR="00DD7418" w:rsidRPr="00DD7418" w:rsidRDefault="00DD7418" w:rsidP="00DD7418">
            <w:pPr>
              <w:spacing w:after="0"/>
              <w:rPr>
                <w:rFonts w:ascii="Georgia" w:eastAsia="Times New Roman" w:hAnsi="Georgia" w:cs="Times New Roman"/>
                <w:kern w:val="0"/>
                <w:szCs w:val="24"/>
                <w:lang w:eastAsia="es-ES"/>
              </w:rPr>
            </w:pPr>
            <w:bookmarkStart w:id="22" w:name="23"/>
            <w:bookmarkEnd w:id="22"/>
            <w:r w:rsidRPr="00DD7418">
              <w:rPr>
                <w:rFonts w:ascii="Georgia" w:eastAsia="Times New Roman" w:hAnsi="Georgia" w:cs="Times New Roman"/>
                <w:color w:val="000080"/>
                <w:kern w:val="0"/>
                <w:szCs w:val="24"/>
                <w:lang w:eastAsia="es-ES"/>
              </w:rPr>
              <w:t>ARTÍCULO 23.</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al artículo </w:t>
            </w:r>
            <w:hyperlink r:id="rId58" w:anchor="325" w:tgtFrame="_blank" w:history="1">
              <w:r w:rsidRPr="00DD7418">
                <w:rPr>
                  <w:rFonts w:ascii="Georgia" w:eastAsia="Times New Roman" w:hAnsi="Georgia" w:cs="Times New Roman"/>
                  <w:color w:val="000000"/>
                  <w:kern w:val="0"/>
                  <w:szCs w:val="24"/>
                  <w:u w:val="single"/>
                  <w:lang w:eastAsia="es-ES"/>
                </w:rPr>
                <w:t>325</w:t>
              </w:r>
            </w:hyperlink>
            <w:r w:rsidRPr="00DD7418">
              <w:rPr>
                <w:rFonts w:ascii="Georgia" w:eastAsia="Times New Roman" w:hAnsi="Georgia" w:cs="Times New Roman"/>
                <w:kern w:val="0"/>
                <w:szCs w:val="24"/>
                <w:lang w:eastAsia="es-ES"/>
              </w:rPr>
              <w:t xml:space="preserve"> de la Ley 685 de 2001, Código de Minas con los siguientes incisos: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cobrará los servicios de fiscalización y seguimiento a los títulos mineros. Los costos que por concepto de cobro de los citados servicios sean cobrados por la Autoridad Minera ingresarán a la subcuenta especial creada para el efecto por la Autoridad Minera y que se denominará, Fondo de Fiscalización Minera.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tarifa de cobro será de acuerdo con los parámetros señalados en el inciso 2o del presente artículo. La tarifa incluirá el valor de los honorarios profesionales requeridos para la realización de la tarea propuesta, el valor total de los viáticos y gastos de viaje de los profesionales que se ocasionen para el seguimiento de los títulos mineros.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prestará los servicios de fiscalización y seguimiento a los títulos mineros a que hace referencia el presente artículo a través de funcionarios o contratistas. </w:t>
            </w:r>
          </w:p>
          <w:p w:rsidR="00DD7418" w:rsidRPr="00DD7418" w:rsidRDefault="00DD7418" w:rsidP="00DD7418">
            <w:pPr>
              <w:spacing w:after="0"/>
              <w:rPr>
                <w:rFonts w:ascii="Georgia" w:eastAsia="Times New Roman" w:hAnsi="Georgia" w:cs="Times New Roman"/>
                <w:kern w:val="0"/>
                <w:szCs w:val="24"/>
                <w:lang w:eastAsia="es-ES"/>
              </w:rPr>
            </w:pPr>
            <w:bookmarkStart w:id="23" w:name="24"/>
            <w:bookmarkEnd w:id="23"/>
            <w:r w:rsidRPr="00DD7418">
              <w:rPr>
                <w:rFonts w:ascii="Georgia" w:eastAsia="Times New Roman" w:hAnsi="Georgia" w:cs="Times New Roman"/>
                <w:color w:val="000080"/>
                <w:kern w:val="0"/>
                <w:szCs w:val="24"/>
                <w:lang w:eastAsia="es-ES"/>
              </w:rPr>
              <w:t>ARTÍCULO 24.</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59" w:anchor="332" w:tgtFrame="_blank" w:history="1">
              <w:r w:rsidRPr="00DD7418">
                <w:rPr>
                  <w:rFonts w:ascii="Georgia" w:eastAsia="Times New Roman" w:hAnsi="Georgia" w:cs="Times New Roman"/>
                  <w:color w:val="000000"/>
                  <w:kern w:val="0"/>
                  <w:szCs w:val="24"/>
                  <w:u w:val="single"/>
                  <w:lang w:eastAsia="es-ES"/>
                </w:rPr>
                <w:t>332</w:t>
              </w:r>
            </w:hyperlink>
            <w:r w:rsidRPr="00DD7418">
              <w:rPr>
                <w:rFonts w:ascii="Georgia" w:eastAsia="Times New Roman" w:hAnsi="Georgia" w:cs="Times New Roman"/>
                <w:kern w:val="0"/>
                <w:szCs w:val="24"/>
                <w:lang w:eastAsia="es-ES"/>
              </w:rPr>
              <w:t xml:space="preserve"> de la Ley 685 de 2001, Código de Minas con el siguiente literal: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b/>
                <w:bCs/>
                <w:kern w:val="0"/>
                <w:szCs w:val="24"/>
                <w:lang w:eastAsia="es-ES"/>
              </w:rPr>
              <w:t xml:space="preserve">j) </w:t>
            </w:r>
            <w:r w:rsidRPr="00DD7418">
              <w:rPr>
                <w:rFonts w:ascii="Georgia" w:eastAsia="Times New Roman" w:hAnsi="Georgia" w:cs="Times New Roman"/>
                <w:kern w:val="0"/>
                <w:szCs w:val="24"/>
                <w:lang w:eastAsia="es-ES"/>
              </w:rPr>
              <w:t xml:space="preserve">Las reservas especiales de que trata el artículo </w:t>
            </w:r>
            <w:hyperlink r:id="rId60" w:anchor="31" w:tgtFrame="_blank" w:history="1">
              <w:r w:rsidRPr="00DD7418">
                <w:rPr>
                  <w:rFonts w:ascii="Georgia" w:eastAsia="Times New Roman" w:hAnsi="Georgia" w:cs="Times New Roman"/>
                  <w:color w:val="000000"/>
                  <w:kern w:val="0"/>
                  <w:szCs w:val="24"/>
                  <w:u w:val="single"/>
                  <w:lang w:eastAsia="es-ES"/>
                </w:rPr>
                <w:t>31</w:t>
              </w:r>
            </w:hyperlink>
            <w:r w:rsidRPr="00DD7418">
              <w:rPr>
                <w:rFonts w:ascii="Georgia" w:eastAsia="Times New Roman" w:hAnsi="Georgia" w:cs="Times New Roman"/>
                <w:kern w:val="0"/>
                <w:szCs w:val="24"/>
                <w:lang w:eastAsia="es-ES"/>
              </w:rPr>
              <w:t xml:space="preserve"> del presente Código. </w:t>
            </w:r>
          </w:p>
          <w:p w:rsidR="00DD7418" w:rsidRPr="00DD7418" w:rsidRDefault="00DD7418" w:rsidP="00DD7418">
            <w:pPr>
              <w:spacing w:after="0"/>
              <w:rPr>
                <w:rFonts w:ascii="Georgia" w:eastAsia="Times New Roman" w:hAnsi="Georgia" w:cs="Times New Roman"/>
                <w:kern w:val="0"/>
                <w:szCs w:val="24"/>
                <w:lang w:eastAsia="es-ES"/>
              </w:rPr>
            </w:pPr>
            <w:bookmarkStart w:id="24" w:name="25"/>
            <w:bookmarkEnd w:id="24"/>
            <w:r w:rsidRPr="00DD7418">
              <w:rPr>
                <w:rFonts w:ascii="Georgia" w:eastAsia="Times New Roman" w:hAnsi="Georgia" w:cs="Times New Roman"/>
                <w:color w:val="000080"/>
                <w:kern w:val="0"/>
                <w:szCs w:val="24"/>
                <w:lang w:eastAsia="es-ES"/>
              </w:rPr>
              <w:t>ARTÍCULO 25.</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el artículo </w:t>
            </w:r>
            <w:hyperlink r:id="rId61" w:anchor="334" w:tgtFrame="_blank" w:history="1">
              <w:r w:rsidRPr="00DD7418">
                <w:rPr>
                  <w:rFonts w:ascii="Georgia" w:eastAsia="Times New Roman" w:hAnsi="Georgia" w:cs="Times New Roman"/>
                  <w:color w:val="000000"/>
                  <w:kern w:val="0"/>
                  <w:szCs w:val="24"/>
                  <w:u w:val="single"/>
                  <w:lang w:eastAsia="es-ES"/>
                </w:rPr>
                <w:t>334</w:t>
              </w:r>
            </w:hyperlink>
            <w:r w:rsidRPr="00DD7418">
              <w:rPr>
                <w:rFonts w:ascii="Georgia" w:eastAsia="Times New Roman" w:hAnsi="Georgia" w:cs="Times New Roman"/>
                <w:kern w:val="0"/>
                <w:szCs w:val="24"/>
                <w:lang w:eastAsia="es-ES"/>
              </w:rPr>
              <w:t xml:space="preserve"> de la Ley 685 de 2001, Código de Minas con el siguiente inciso: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Las áreas que hayan sido objeto de un título o solicitud minera y que por cualquier causa queden libres, sólo podrán ser objeto de propuesta de concesión transcurridos treinta (30) días después de que se encuentren en firme los actos administrativos definitivos que impliquen tal libertad. Todo acto administrativo a que se refiere este artículo deberá ser publicado en la página electrónica de la Autoridad Minera o en el medio que hiciere sus veces, dentro de los cinco (5) días siguientes a su ejecutoria. Dentro de este último término deberá inscribirse en el Registro Minero. </w:t>
            </w:r>
          </w:p>
          <w:p w:rsidR="00DD7418" w:rsidRPr="00DD7418" w:rsidRDefault="00DD7418" w:rsidP="00DD7418">
            <w:pPr>
              <w:spacing w:after="0"/>
              <w:rPr>
                <w:rFonts w:ascii="Georgia" w:eastAsia="Times New Roman" w:hAnsi="Georgia" w:cs="Times New Roman"/>
                <w:kern w:val="0"/>
                <w:szCs w:val="24"/>
                <w:lang w:eastAsia="es-ES"/>
              </w:rPr>
            </w:pPr>
            <w:bookmarkStart w:id="25" w:name="26"/>
            <w:bookmarkEnd w:id="25"/>
            <w:r w:rsidRPr="00DD7418">
              <w:rPr>
                <w:rFonts w:ascii="Georgia" w:eastAsia="Times New Roman" w:hAnsi="Georgia" w:cs="Times New Roman"/>
                <w:color w:val="000080"/>
                <w:kern w:val="0"/>
                <w:szCs w:val="24"/>
                <w:lang w:eastAsia="es-ES"/>
              </w:rPr>
              <w:t xml:space="preserve">ARTÍCULO 26. </w:t>
            </w:r>
            <w:r w:rsidRPr="00DD7418">
              <w:rPr>
                <w:rFonts w:ascii="Georgia" w:eastAsia="Times New Roman" w:hAnsi="Georgia" w:cs="Times New Roman"/>
                <w:i/>
                <w:iCs/>
                <w:color w:val="000080"/>
                <w:kern w:val="0"/>
                <w:szCs w:val="24"/>
                <w:lang w:eastAsia="es-ES"/>
              </w:rPr>
              <w:t>DISTRITOS MINEROS ESPECIALES</w:t>
            </w:r>
            <w:r w:rsidRPr="00DD7418">
              <w:rPr>
                <w:rFonts w:ascii="Georgia" w:eastAsia="Times New Roman" w:hAnsi="Georgia" w:cs="Times New Roman"/>
                <w:color w:val="000080"/>
                <w:kern w:val="0"/>
                <w:szCs w:val="24"/>
                <w:lang w:eastAsia="es-ES"/>
              </w:rPr>
              <w:t>.</w:t>
            </w:r>
            <w:r w:rsidRPr="00DD7418">
              <w:rPr>
                <w:rFonts w:ascii="Georgia" w:eastAsia="Times New Roman" w:hAnsi="Georgia" w:cs="Times New Roman"/>
                <w:kern w:val="0"/>
                <w:szCs w:val="24"/>
                <w:lang w:eastAsia="es-ES"/>
              </w:rPr>
              <w:t xml:space="preserve"> El Ministerio de Minas y Energía delimitará, con la participación regional y local de los actores empresariales, sociales, de gobierno y demás entes administrativos involucrados en los procesos de la minería, áreas estratégicas mineras del territorio nacional, a las que se les denominará Distritos Mineros Especiales, mediante las cuales se facilitará la relación Estado-Sociedad-Territorio y se estimulará la planeación participativa en un contexto de desarrollo humano sostenible y equilibrio para la competitividad del territorio.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La Autoridad Minera garantizará la articulación de las estrategias aplicadas sobre los Distritos Mineros Especiales con el Sistema Nacional de Competitividad.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 xml:space="preserve">Los aspectos contenidos en los artículos </w:t>
            </w:r>
            <w:hyperlink r:id="rId62" w:anchor="248" w:tgtFrame="_blank" w:history="1">
              <w:r w:rsidRPr="00DD7418">
                <w:rPr>
                  <w:rFonts w:ascii="Georgia" w:eastAsia="Times New Roman" w:hAnsi="Georgia" w:cs="Times New Roman"/>
                  <w:color w:val="000000"/>
                  <w:kern w:val="0"/>
                  <w:szCs w:val="24"/>
                  <w:u w:val="single"/>
                  <w:lang w:eastAsia="es-ES"/>
                </w:rPr>
                <w:t>248</w:t>
              </w:r>
            </w:hyperlink>
            <w:r w:rsidRPr="00DD7418">
              <w:rPr>
                <w:rFonts w:ascii="Georgia" w:eastAsia="Times New Roman" w:hAnsi="Georgia" w:cs="Times New Roman"/>
                <w:kern w:val="0"/>
                <w:szCs w:val="24"/>
                <w:lang w:eastAsia="es-ES"/>
              </w:rPr>
              <w:t xml:space="preserve">, </w:t>
            </w:r>
            <w:hyperlink r:id="rId63" w:anchor="249" w:tgtFrame="_blank" w:history="1">
              <w:r w:rsidRPr="00DD7418">
                <w:rPr>
                  <w:rFonts w:ascii="Georgia" w:eastAsia="Times New Roman" w:hAnsi="Georgia" w:cs="Times New Roman"/>
                  <w:color w:val="000000"/>
                  <w:kern w:val="0"/>
                  <w:szCs w:val="24"/>
                  <w:u w:val="single"/>
                  <w:lang w:eastAsia="es-ES"/>
                </w:rPr>
                <w:t>249</w:t>
              </w:r>
            </w:hyperlink>
            <w:r w:rsidRPr="00DD7418">
              <w:rPr>
                <w:rFonts w:ascii="Georgia" w:eastAsia="Times New Roman" w:hAnsi="Georgia" w:cs="Times New Roman"/>
                <w:kern w:val="0"/>
                <w:szCs w:val="24"/>
                <w:lang w:eastAsia="es-ES"/>
              </w:rPr>
              <w:t xml:space="preserve">, </w:t>
            </w:r>
            <w:hyperlink r:id="rId64" w:anchor="250" w:tgtFrame="_blank" w:history="1">
              <w:r w:rsidRPr="00DD7418">
                <w:rPr>
                  <w:rFonts w:ascii="Georgia" w:eastAsia="Times New Roman" w:hAnsi="Georgia" w:cs="Times New Roman"/>
                  <w:color w:val="000000"/>
                  <w:kern w:val="0"/>
                  <w:szCs w:val="24"/>
                  <w:u w:val="single"/>
                  <w:lang w:eastAsia="es-ES"/>
                </w:rPr>
                <w:t>250</w:t>
              </w:r>
            </w:hyperlink>
            <w:r w:rsidRPr="00DD7418">
              <w:rPr>
                <w:rFonts w:ascii="Georgia" w:eastAsia="Times New Roman" w:hAnsi="Georgia" w:cs="Times New Roman"/>
                <w:kern w:val="0"/>
                <w:szCs w:val="24"/>
                <w:lang w:eastAsia="es-ES"/>
              </w:rPr>
              <w:t xml:space="preserve">, </w:t>
            </w:r>
            <w:hyperlink r:id="rId65" w:anchor="255" w:tgtFrame="_blank" w:history="1">
              <w:r w:rsidRPr="00DD7418">
                <w:rPr>
                  <w:rFonts w:ascii="Georgia" w:eastAsia="Times New Roman" w:hAnsi="Georgia" w:cs="Times New Roman"/>
                  <w:color w:val="000000"/>
                  <w:kern w:val="0"/>
                  <w:szCs w:val="24"/>
                  <w:u w:val="single"/>
                  <w:lang w:eastAsia="es-ES"/>
                </w:rPr>
                <w:t>255</w:t>
              </w:r>
            </w:hyperlink>
            <w:r w:rsidRPr="00DD7418">
              <w:rPr>
                <w:rFonts w:ascii="Georgia" w:eastAsia="Times New Roman" w:hAnsi="Georgia" w:cs="Times New Roman"/>
                <w:kern w:val="0"/>
                <w:szCs w:val="24"/>
                <w:lang w:eastAsia="es-ES"/>
              </w:rPr>
              <w:t xml:space="preserve"> y </w:t>
            </w:r>
            <w:hyperlink r:id="rId66" w:anchor="257" w:tgtFrame="_blank" w:history="1">
              <w:r w:rsidRPr="00DD7418">
                <w:rPr>
                  <w:rFonts w:ascii="Georgia" w:eastAsia="Times New Roman" w:hAnsi="Georgia" w:cs="Times New Roman"/>
                  <w:color w:val="000000"/>
                  <w:kern w:val="0"/>
                  <w:szCs w:val="24"/>
                  <w:u w:val="single"/>
                  <w:lang w:eastAsia="es-ES"/>
                </w:rPr>
                <w:t>257</w:t>
              </w:r>
            </w:hyperlink>
            <w:r w:rsidRPr="00DD7418">
              <w:rPr>
                <w:rFonts w:ascii="Georgia" w:eastAsia="Times New Roman" w:hAnsi="Georgia" w:cs="Times New Roman"/>
                <w:kern w:val="0"/>
                <w:szCs w:val="24"/>
                <w:lang w:eastAsia="es-ES"/>
              </w:rPr>
              <w:t xml:space="preserve"> de la Ley 685 </w:t>
            </w:r>
            <w:r w:rsidRPr="00DD7418">
              <w:rPr>
                <w:rFonts w:ascii="Georgia" w:eastAsia="Times New Roman" w:hAnsi="Georgia" w:cs="Times New Roman"/>
                <w:kern w:val="0"/>
                <w:szCs w:val="24"/>
                <w:lang w:eastAsia="es-ES"/>
              </w:rPr>
              <w:lastRenderedPageBreak/>
              <w:t xml:space="preserve">de 2001, deberán ser considerados en los planes, programas y proyectos de Competitividad y Desarrollo Humano Sostenible formulados para los Distritos Mineros Especiales del país.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color w:val="000080"/>
                <w:kern w:val="0"/>
                <w:szCs w:val="24"/>
                <w:lang w:eastAsia="es-ES"/>
              </w:rPr>
              <w:t>PARÁGRAFO.</w:t>
            </w:r>
            <w:r w:rsidRPr="00DD7418">
              <w:rPr>
                <w:rFonts w:ascii="Georgia" w:eastAsia="Times New Roman" w:hAnsi="Georgia" w:cs="Times New Roman"/>
                <w:kern w:val="0"/>
                <w:szCs w:val="24"/>
                <w:lang w:eastAsia="es-ES"/>
              </w:rPr>
              <w:t xml:space="preserve"> La Autoridad Minera conformará los Distritos Mineros de acuerdo a condiciones geológico-mineras, sociales y económicas. </w:t>
            </w:r>
          </w:p>
          <w:p w:rsidR="00DD7418" w:rsidRPr="00DD7418" w:rsidRDefault="00DD7418" w:rsidP="00DD7418">
            <w:pPr>
              <w:spacing w:after="0"/>
              <w:rPr>
                <w:rFonts w:ascii="Georgia" w:eastAsia="Times New Roman" w:hAnsi="Georgia" w:cs="Times New Roman"/>
                <w:kern w:val="0"/>
                <w:szCs w:val="24"/>
                <w:lang w:eastAsia="es-ES"/>
              </w:rPr>
            </w:pPr>
            <w:bookmarkStart w:id="26" w:name="27"/>
            <w:bookmarkEnd w:id="26"/>
            <w:r w:rsidRPr="00DD7418">
              <w:rPr>
                <w:rFonts w:ascii="Georgia" w:eastAsia="Times New Roman" w:hAnsi="Georgia" w:cs="Times New Roman"/>
                <w:color w:val="000080"/>
                <w:kern w:val="0"/>
                <w:szCs w:val="24"/>
                <w:lang w:eastAsia="es-ES"/>
              </w:rPr>
              <w:t>ARTÍCULO 27.</w:t>
            </w:r>
            <w:r w:rsidRPr="00DD7418">
              <w:rPr>
                <w:rFonts w:ascii="Georgia" w:eastAsia="Times New Roman" w:hAnsi="Georgia" w:cs="Times New Roman"/>
                <w:kern w:val="0"/>
                <w:szCs w:val="24"/>
                <w:lang w:eastAsia="es-ES"/>
              </w:rPr>
              <w:t xml:space="preserve"> </w:t>
            </w:r>
            <w:proofErr w:type="spellStart"/>
            <w:r w:rsidRPr="00DD7418">
              <w:rPr>
                <w:rFonts w:ascii="Georgia" w:eastAsia="Times New Roman" w:hAnsi="Georgia" w:cs="Times New Roman"/>
                <w:kern w:val="0"/>
                <w:szCs w:val="24"/>
                <w:lang w:eastAsia="es-ES"/>
              </w:rPr>
              <w:t>Adiciónase</w:t>
            </w:r>
            <w:proofErr w:type="spellEnd"/>
            <w:r w:rsidRPr="00DD7418">
              <w:rPr>
                <w:rFonts w:ascii="Georgia" w:eastAsia="Times New Roman" w:hAnsi="Georgia" w:cs="Times New Roman"/>
                <w:kern w:val="0"/>
                <w:szCs w:val="24"/>
                <w:lang w:eastAsia="es-ES"/>
              </w:rPr>
              <w:t xml:space="preserve"> la Ley </w:t>
            </w:r>
            <w:hyperlink r:id="rId67" w:anchor="l1382" w:tgtFrame="_blank" w:history="1">
              <w:r w:rsidRPr="00DD7418">
                <w:rPr>
                  <w:rFonts w:ascii="Georgia" w:eastAsia="Times New Roman" w:hAnsi="Georgia" w:cs="Times New Roman"/>
                  <w:color w:val="000000"/>
                  <w:kern w:val="0"/>
                  <w:szCs w:val="24"/>
                  <w:u w:val="single"/>
                  <w:lang w:eastAsia="es-ES"/>
                </w:rPr>
                <w:t>685</w:t>
              </w:r>
            </w:hyperlink>
            <w:r w:rsidRPr="00DD7418">
              <w:rPr>
                <w:rFonts w:ascii="Georgia" w:eastAsia="Times New Roman" w:hAnsi="Georgia" w:cs="Times New Roman"/>
                <w:kern w:val="0"/>
                <w:szCs w:val="24"/>
                <w:lang w:eastAsia="es-ES"/>
              </w:rPr>
              <w:t xml:space="preserve"> de 2001, Código de Minas, con el siguiente artículo: </w:t>
            </w:r>
          </w:p>
          <w:p w:rsidR="00DD7418" w:rsidRPr="00DD7418" w:rsidRDefault="00DD7418" w:rsidP="00DD7418">
            <w:pPr>
              <w:spacing w:after="0"/>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w:t>
            </w:r>
            <w:r w:rsidRPr="00DD7418">
              <w:rPr>
                <w:rFonts w:ascii="Georgia" w:eastAsia="Times New Roman" w:hAnsi="Georgia" w:cs="Times New Roman"/>
                <w:b/>
                <w:bCs/>
                <w:i/>
                <w:iCs/>
                <w:kern w:val="0"/>
                <w:szCs w:val="24"/>
                <w:lang w:eastAsia="es-ES"/>
              </w:rPr>
              <w:t xml:space="preserve">Responsabilidad social empresarial. </w:t>
            </w:r>
            <w:r w:rsidRPr="00DD7418">
              <w:rPr>
                <w:rFonts w:ascii="Georgia" w:eastAsia="Times New Roman" w:hAnsi="Georgia" w:cs="Times New Roman"/>
                <w:kern w:val="0"/>
                <w:szCs w:val="24"/>
                <w:lang w:eastAsia="es-ES"/>
              </w:rPr>
              <w:t xml:space="preserve">Las empresas mineras promoverán y efectuarán actividades de responsabilidad social, en un marco de desarrollo humano sostenible, que propendan por la promoción de comportamientos voluntarios, socialmente responsables, a partir del diseño, desarrollo y ejecución de políticas, planes, programas y proyectos que permitan el logro de objetivos sociales de mejoramiento en la calidad de vida de la población y la prevención y reparación de los daños ambientales en las regiones, subregiones y/o zonas de su influencia. </w:t>
            </w:r>
          </w:p>
          <w:p w:rsidR="00DD7418" w:rsidRPr="00DD7418" w:rsidRDefault="00DD7418" w:rsidP="00DD7418">
            <w:pPr>
              <w:spacing w:after="0"/>
              <w:rPr>
                <w:rFonts w:ascii="Georgia" w:eastAsia="Times New Roman" w:hAnsi="Georgia" w:cs="Times New Roman"/>
                <w:kern w:val="0"/>
                <w:szCs w:val="24"/>
                <w:lang w:eastAsia="es-ES"/>
              </w:rPr>
            </w:pPr>
            <w:bookmarkStart w:id="27" w:name="28"/>
            <w:bookmarkEnd w:id="27"/>
            <w:r w:rsidRPr="00DD7418">
              <w:rPr>
                <w:rFonts w:ascii="Georgia" w:eastAsia="Times New Roman" w:hAnsi="Georgia" w:cs="Times New Roman"/>
                <w:color w:val="000080"/>
                <w:kern w:val="0"/>
                <w:szCs w:val="24"/>
                <w:lang w:eastAsia="es-ES"/>
              </w:rPr>
              <w:t>ARTÍCULO 28.</w:t>
            </w:r>
            <w:r w:rsidRPr="00DD7418">
              <w:rPr>
                <w:rFonts w:ascii="Georgia" w:eastAsia="Times New Roman" w:hAnsi="Georgia" w:cs="Times New Roman"/>
                <w:kern w:val="0"/>
                <w:szCs w:val="24"/>
                <w:lang w:eastAsia="es-ES"/>
              </w:rPr>
              <w:t xml:space="preserve"> Las disposiciones de la presente ley no modifican ni derogan las garantías y derechos consagrados en la Ley </w:t>
            </w:r>
            <w:hyperlink r:id="rId68" w:anchor="70" w:tgtFrame="_blank" w:history="1">
              <w:r w:rsidRPr="00DD7418">
                <w:rPr>
                  <w:rFonts w:ascii="Georgia" w:eastAsia="Times New Roman" w:hAnsi="Georgia" w:cs="Times New Roman"/>
                  <w:color w:val="000000"/>
                  <w:kern w:val="0"/>
                  <w:szCs w:val="24"/>
                  <w:u w:val="single"/>
                  <w:lang w:eastAsia="es-ES"/>
                </w:rPr>
                <w:t>70</w:t>
              </w:r>
            </w:hyperlink>
            <w:r w:rsidRPr="00DD7418">
              <w:rPr>
                <w:rFonts w:ascii="Georgia" w:eastAsia="Times New Roman" w:hAnsi="Georgia" w:cs="Times New Roman"/>
                <w:kern w:val="0"/>
                <w:szCs w:val="24"/>
                <w:lang w:eastAsia="es-ES"/>
              </w:rPr>
              <w:t xml:space="preserve"> de 1993 y en el Código de Minas a favor de los grupos étnicos (comunidades negras e indígenas) y de sus zonas mineras. </w:t>
            </w:r>
          </w:p>
          <w:p w:rsidR="00DD7418" w:rsidRPr="00DD7418" w:rsidRDefault="00DD7418" w:rsidP="00DD7418">
            <w:pPr>
              <w:spacing w:after="0"/>
              <w:rPr>
                <w:rFonts w:ascii="Georgia" w:eastAsia="Times New Roman" w:hAnsi="Georgia" w:cs="Times New Roman"/>
                <w:kern w:val="0"/>
                <w:szCs w:val="24"/>
                <w:lang w:eastAsia="es-ES"/>
              </w:rPr>
            </w:pPr>
            <w:bookmarkStart w:id="28" w:name="29"/>
            <w:bookmarkEnd w:id="28"/>
            <w:r w:rsidRPr="00DD7418">
              <w:rPr>
                <w:rFonts w:ascii="Georgia" w:eastAsia="Times New Roman" w:hAnsi="Georgia" w:cs="Times New Roman"/>
                <w:color w:val="000080"/>
                <w:kern w:val="0"/>
                <w:szCs w:val="24"/>
                <w:lang w:eastAsia="es-ES"/>
              </w:rPr>
              <w:t>ARTÍCULO 29.</w:t>
            </w:r>
            <w:r w:rsidRPr="00DD7418">
              <w:rPr>
                <w:rFonts w:ascii="Georgia" w:eastAsia="Times New Roman" w:hAnsi="Georgia" w:cs="Times New Roman"/>
                <w:kern w:val="0"/>
                <w:szCs w:val="24"/>
                <w:lang w:eastAsia="es-ES"/>
              </w:rPr>
              <w:t xml:space="preserve"> La Autoridad Minera tendrá la obligación de reglamentar el artículo </w:t>
            </w:r>
            <w:hyperlink r:id="rId69" w:anchor="254" w:tgtFrame="_blank" w:history="1">
              <w:r w:rsidRPr="00DD7418">
                <w:rPr>
                  <w:rFonts w:ascii="Georgia" w:eastAsia="Times New Roman" w:hAnsi="Georgia" w:cs="Times New Roman"/>
                  <w:color w:val="000000"/>
                  <w:kern w:val="0"/>
                  <w:szCs w:val="24"/>
                  <w:u w:val="single"/>
                  <w:lang w:eastAsia="es-ES"/>
                </w:rPr>
                <w:t>254</w:t>
              </w:r>
            </w:hyperlink>
            <w:r w:rsidRPr="00DD7418">
              <w:rPr>
                <w:rFonts w:ascii="Georgia" w:eastAsia="Times New Roman" w:hAnsi="Georgia" w:cs="Times New Roman"/>
                <w:kern w:val="0"/>
                <w:szCs w:val="24"/>
                <w:lang w:eastAsia="es-ES"/>
              </w:rPr>
              <w:t xml:space="preserve"> sobre mano de obra regional, de la Ley 685 de 2001, en un término máximo de seis (6) meses, a partir de la promulgación de la presente ley. </w:t>
            </w:r>
          </w:p>
          <w:p w:rsidR="00DD7418" w:rsidRPr="00DD7418" w:rsidRDefault="00DD7418" w:rsidP="00DD7418">
            <w:pPr>
              <w:spacing w:after="0"/>
              <w:rPr>
                <w:rFonts w:ascii="Georgia" w:eastAsia="Times New Roman" w:hAnsi="Georgia" w:cs="Times New Roman"/>
                <w:kern w:val="0"/>
                <w:szCs w:val="24"/>
                <w:lang w:eastAsia="es-ES"/>
              </w:rPr>
            </w:pPr>
            <w:bookmarkStart w:id="29" w:name="30"/>
            <w:bookmarkEnd w:id="29"/>
            <w:r w:rsidRPr="00DD7418">
              <w:rPr>
                <w:rFonts w:ascii="Georgia" w:eastAsia="Times New Roman" w:hAnsi="Georgia" w:cs="Times New Roman"/>
                <w:color w:val="000080"/>
                <w:kern w:val="0"/>
                <w:szCs w:val="24"/>
                <w:lang w:eastAsia="es-ES"/>
              </w:rPr>
              <w:t>ARTÍCULO 30.</w:t>
            </w:r>
            <w:r w:rsidRPr="00DD7418">
              <w:rPr>
                <w:rFonts w:ascii="Georgia" w:eastAsia="Times New Roman" w:hAnsi="Georgia" w:cs="Times New Roman"/>
                <w:kern w:val="0"/>
                <w:szCs w:val="24"/>
                <w:lang w:eastAsia="es-ES"/>
              </w:rPr>
              <w:t xml:space="preserve"> En los departamentos contemplados en el artículo </w:t>
            </w:r>
            <w:hyperlink r:id="rId70" w:anchor="309" w:tgtFrame="_blank" w:history="1">
              <w:r w:rsidRPr="00DD7418">
                <w:rPr>
                  <w:rFonts w:ascii="Georgia" w:eastAsia="Times New Roman" w:hAnsi="Georgia" w:cs="Times New Roman"/>
                  <w:color w:val="000000"/>
                  <w:kern w:val="0"/>
                  <w:szCs w:val="24"/>
                  <w:u w:val="single"/>
                  <w:lang w:eastAsia="es-ES"/>
                </w:rPr>
                <w:t>309</w:t>
              </w:r>
            </w:hyperlink>
            <w:r w:rsidRPr="00DD7418">
              <w:rPr>
                <w:rFonts w:ascii="Georgia" w:eastAsia="Times New Roman" w:hAnsi="Georgia" w:cs="Times New Roman"/>
                <w:kern w:val="0"/>
                <w:szCs w:val="24"/>
                <w:lang w:eastAsia="es-ES"/>
              </w:rPr>
              <w:t xml:space="preserve"> de la Constitución Nacional y en el Chocó, donde existe la pequeña minería, mediante el método de </w:t>
            </w:r>
            <w:proofErr w:type="spellStart"/>
            <w:r w:rsidRPr="00DD7418">
              <w:rPr>
                <w:rFonts w:ascii="Georgia" w:eastAsia="Times New Roman" w:hAnsi="Georgia" w:cs="Times New Roman"/>
                <w:kern w:val="0"/>
                <w:szCs w:val="24"/>
                <w:lang w:eastAsia="es-ES"/>
              </w:rPr>
              <w:t>minidragas</w:t>
            </w:r>
            <w:proofErr w:type="spellEnd"/>
            <w:r w:rsidRPr="00DD7418">
              <w:rPr>
                <w:rFonts w:ascii="Georgia" w:eastAsia="Times New Roman" w:hAnsi="Georgia" w:cs="Times New Roman"/>
                <w:kern w:val="0"/>
                <w:szCs w:val="24"/>
                <w:lang w:eastAsia="es-ES"/>
              </w:rPr>
              <w:t xml:space="preserve"> de motores hasta de 60 caballos de fuerza, el Estado les dará especial protección para la continuidad en el ejercicio de esta tarea y tendrá un plazo de hasta dos (2) años contados a partir de la vigencia de la presente ley, para legalizar dicha actividad. </w:t>
            </w:r>
          </w:p>
          <w:p w:rsidR="00DD7418" w:rsidRPr="00DD7418" w:rsidRDefault="00DD7418" w:rsidP="00DD7418">
            <w:pPr>
              <w:spacing w:after="125"/>
              <w:rPr>
                <w:rFonts w:ascii="Georgia" w:eastAsia="Times New Roman" w:hAnsi="Georgia" w:cs="Times New Roman"/>
                <w:kern w:val="0"/>
                <w:szCs w:val="24"/>
                <w:lang w:eastAsia="es-ES"/>
              </w:rPr>
            </w:pPr>
            <w:bookmarkStart w:id="30" w:name="31"/>
            <w:bookmarkEnd w:id="30"/>
            <w:r w:rsidRPr="00DD7418">
              <w:rPr>
                <w:rFonts w:ascii="Georgia" w:eastAsia="Times New Roman" w:hAnsi="Georgia" w:cs="Times New Roman"/>
                <w:color w:val="000080"/>
                <w:kern w:val="0"/>
                <w:szCs w:val="24"/>
                <w:lang w:eastAsia="es-ES"/>
              </w:rPr>
              <w:t xml:space="preserve">ARTÍCULO 31. </w:t>
            </w:r>
            <w:r w:rsidRPr="00DD7418">
              <w:rPr>
                <w:rFonts w:ascii="Georgia" w:eastAsia="Times New Roman" w:hAnsi="Georgia" w:cs="Times New Roman"/>
                <w:i/>
                <w:iCs/>
                <w:color w:val="000080"/>
                <w:kern w:val="0"/>
                <w:szCs w:val="24"/>
                <w:lang w:eastAsia="es-ES"/>
              </w:rPr>
              <w:t>VIGENCIA</w:t>
            </w:r>
            <w:r w:rsidRPr="00DD7418">
              <w:rPr>
                <w:rFonts w:ascii="Georgia" w:eastAsia="Times New Roman" w:hAnsi="Georgia" w:cs="Times New Roman"/>
                <w:color w:val="000080"/>
                <w:kern w:val="0"/>
                <w:szCs w:val="24"/>
                <w:lang w:eastAsia="es-ES"/>
              </w:rPr>
              <w:t>.</w:t>
            </w:r>
            <w:r w:rsidRPr="00DD7418">
              <w:rPr>
                <w:rFonts w:ascii="Georgia" w:eastAsia="Times New Roman" w:hAnsi="Georgia" w:cs="Times New Roman"/>
                <w:kern w:val="0"/>
                <w:szCs w:val="24"/>
                <w:lang w:eastAsia="es-ES"/>
              </w:rPr>
              <w:t xml:space="preserve"> La presente ley rige a partir de la fecha de su publicación y deroga los artículos </w:t>
            </w:r>
            <w:hyperlink r:id="rId71" w:anchor="190" w:tgtFrame="_blank" w:history="1">
              <w:r w:rsidRPr="00DD7418">
                <w:rPr>
                  <w:rFonts w:ascii="Georgia" w:eastAsia="Times New Roman" w:hAnsi="Georgia" w:cs="Times New Roman"/>
                  <w:color w:val="000000"/>
                  <w:kern w:val="0"/>
                  <w:szCs w:val="24"/>
                  <w:u w:val="single"/>
                  <w:lang w:eastAsia="es-ES"/>
                </w:rPr>
                <w:t>190</w:t>
              </w:r>
            </w:hyperlink>
            <w:r w:rsidRPr="00DD7418">
              <w:rPr>
                <w:rFonts w:ascii="Georgia" w:eastAsia="Times New Roman" w:hAnsi="Georgia" w:cs="Times New Roman"/>
                <w:kern w:val="0"/>
                <w:szCs w:val="24"/>
                <w:lang w:eastAsia="es-ES"/>
              </w:rPr>
              <w:t xml:space="preserve">, </w:t>
            </w:r>
            <w:hyperlink r:id="rId72" w:anchor="191" w:tgtFrame="_blank" w:history="1">
              <w:r w:rsidRPr="00DD7418">
                <w:rPr>
                  <w:rFonts w:ascii="Georgia" w:eastAsia="Times New Roman" w:hAnsi="Georgia" w:cs="Times New Roman"/>
                  <w:color w:val="000000"/>
                  <w:kern w:val="0"/>
                  <w:szCs w:val="24"/>
                  <w:u w:val="single"/>
                  <w:lang w:eastAsia="es-ES"/>
                </w:rPr>
                <w:t>191</w:t>
              </w:r>
            </w:hyperlink>
            <w:r w:rsidRPr="00DD7418">
              <w:rPr>
                <w:rFonts w:ascii="Georgia" w:eastAsia="Times New Roman" w:hAnsi="Georgia" w:cs="Times New Roman"/>
                <w:kern w:val="0"/>
                <w:szCs w:val="24"/>
                <w:lang w:eastAsia="es-ES"/>
              </w:rPr>
              <w:t xml:space="preserve">, </w:t>
            </w:r>
            <w:hyperlink r:id="rId73" w:anchor="203" w:tgtFrame="_blank" w:history="1">
              <w:r w:rsidRPr="00DD7418">
                <w:rPr>
                  <w:rFonts w:ascii="Georgia" w:eastAsia="Times New Roman" w:hAnsi="Georgia" w:cs="Times New Roman"/>
                  <w:color w:val="000000"/>
                  <w:kern w:val="0"/>
                  <w:szCs w:val="24"/>
                  <w:u w:val="single"/>
                  <w:lang w:eastAsia="es-ES"/>
                </w:rPr>
                <w:t>203</w:t>
              </w:r>
            </w:hyperlink>
            <w:r w:rsidRPr="00DD7418">
              <w:rPr>
                <w:rFonts w:ascii="Georgia" w:eastAsia="Times New Roman" w:hAnsi="Georgia" w:cs="Times New Roman"/>
                <w:kern w:val="0"/>
                <w:szCs w:val="24"/>
                <w:lang w:eastAsia="es-ES"/>
              </w:rPr>
              <w:t xml:space="preserve">, </w:t>
            </w:r>
            <w:hyperlink r:id="rId74" w:anchor="211" w:tgtFrame="_blank" w:history="1">
              <w:r w:rsidRPr="00DD7418">
                <w:rPr>
                  <w:rFonts w:ascii="Georgia" w:eastAsia="Times New Roman" w:hAnsi="Georgia" w:cs="Times New Roman"/>
                  <w:color w:val="000000"/>
                  <w:kern w:val="0"/>
                  <w:szCs w:val="24"/>
                  <w:u w:val="single"/>
                  <w:lang w:eastAsia="es-ES"/>
                </w:rPr>
                <w:t>211</w:t>
              </w:r>
            </w:hyperlink>
            <w:r w:rsidRPr="00DD7418">
              <w:rPr>
                <w:rFonts w:ascii="Georgia" w:eastAsia="Times New Roman" w:hAnsi="Georgia" w:cs="Times New Roman"/>
                <w:kern w:val="0"/>
                <w:szCs w:val="24"/>
                <w:lang w:eastAsia="es-ES"/>
              </w:rPr>
              <w:t xml:space="preserve">, </w:t>
            </w:r>
            <w:hyperlink r:id="rId75" w:anchor="213" w:tgtFrame="_blank" w:history="1">
              <w:r w:rsidRPr="00DD7418">
                <w:rPr>
                  <w:rFonts w:ascii="Georgia" w:eastAsia="Times New Roman" w:hAnsi="Georgia" w:cs="Times New Roman"/>
                  <w:color w:val="000000"/>
                  <w:kern w:val="0"/>
                  <w:szCs w:val="24"/>
                  <w:u w:val="single"/>
                  <w:lang w:eastAsia="es-ES"/>
                </w:rPr>
                <w:t>213</w:t>
              </w:r>
            </w:hyperlink>
            <w:r w:rsidRPr="00DD7418">
              <w:rPr>
                <w:rFonts w:ascii="Georgia" w:eastAsia="Times New Roman" w:hAnsi="Georgia" w:cs="Times New Roman"/>
                <w:kern w:val="0"/>
                <w:szCs w:val="24"/>
                <w:lang w:eastAsia="es-ES"/>
              </w:rPr>
              <w:t xml:space="preserve">, </w:t>
            </w:r>
            <w:hyperlink r:id="rId76" w:anchor="215" w:tgtFrame="_blank" w:history="1">
              <w:r w:rsidRPr="00DD7418">
                <w:rPr>
                  <w:rFonts w:ascii="Georgia" w:eastAsia="Times New Roman" w:hAnsi="Georgia" w:cs="Times New Roman"/>
                  <w:color w:val="000000"/>
                  <w:kern w:val="0"/>
                  <w:szCs w:val="24"/>
                  <w:u w:val="single"/>
                  <w:lang w:eastAsia="es-ES"/>
                </w:rPr>
                <w:t>215</w:t>
              </w:r>
            </w:hyperlink>
            <w:r w:rsidRPr="00DD7418">
              <w:rPr>
                <w:rFonts w:ascii="Georgia" w:eastAsia="Times New Roman" w:hAnsi="Georgia" w:cs="Times New Roman"/>
                <w:kern w:val="0"/>
                <w:szCs w:val="24"/>
                <w:lang w:eastAsia="es-ES"/>
              </w:rPr>
              <w:t xml:space="preserve">, </w:t>
            </w:r>
            <w:hyperlink r:id="rId77" w:anchor="282" w:tgtFrame="_blank" w:history="1">
              <w:r w:rsidRPr="00DD7418">
                <w:rPr>
                  <w:rFonts w:ascii="Georgia" w:eastAsia="Times New Roman" w:hAnsi="Georgia" w:cs="Times New Roman"/>
                  <w:color w:val="000000"/>
                  <w:kern w:val="0"/>
                  <w:szCs w:val="24"/>
                  <w:u w:val="single"/>
                  <w:lang w:eastAsia="es-ES"/>
                </w:rPr>
                <w:t>282</w:t>
              </w:r>
            </w:hyperlink>
            <w:r w:rsidRPr="00DD7418">
              <w:rPr>
                <w:rFonts w:ascii="Georgia" w:eastAsia="Times New Roman" w:hAnsi="Georgia" w:cs="Times New Roman"/>
                <w:kern w:val="0"/>
                <w:szCs w:val="24"/>
                <w:lang w:eastAsia="es-ES"/>
              </w:rPr>
              <w:t xml:space="preserve">, </w:t>
            </w:r>
            <w:hyperlink r:id="rId78" w:anchor="292" w:tgtFrame="_blank" w:history="1">
              <w:r w:rsidRPr="00DD7418">
                <w:rPr>
                  <w:rFonts w:ascii="Georgia" w:eastAsia="Times New Roman" w:hAnsi="Georgia" w:cs="Times New Roman"/>
                  <w:color w:val="000000"/>
                  <w:kern w:val="0"/>
                  <w:szCs w:val="24"/>
                  <w:u w:val="single"/>
                  <w:lang w:eastAsia="es-ES"/>
                </w:rPr>
                <w:t>292</w:t>
              </w:r>
            </w:hyperlink>
            <w:r w:rsidRPr="00DD7418">
              <w:rPr>
                <w:rFonts w:ascii="Georgia" w:eastAsia="Times New Roman" w:hAnsi="Georgia" w:cs="Times New Roman"/>
                <w:kern w:val="0"/>
                <w:szCs w:val="24"/>
                <w:lang w:eastAsia="es-ES"/>
              </w:rPr>
              <w:t xml:space="preserve">, </w:t>
            </w:r>
            <w:hyperlink r:id="rId79" w:anchor="298" w:tgtFrame="_blank" w:history="1">
              <w:r w:rsidRPr="00DD7418">
                <w:rPr>
                  <w:rFonts w:ascii="Georgia" w:eastAsia="Times New Roman" w:hAnsi="Georgia" w:cs="Times New Roman"/>
                  <w:color w:val="000000"/>
                  <w:kern w:val="0"/>
                  <w:szCs w:val="24"/>
                  <w:u w:val="single"/>
                  <w:lang w:eastAsia="es-ES"/>
                </w:rPr>
                <w:t>298</w:t>
              </w:r>
            </w:hyperlink>
            <w:r w:rsidRPr="00DD7418">
              <w:rPr>
                <w:rFonts w:ascii="Georgia" w:eastAsia="Times New Roman" w:hAnsi="Georgia" w:cs="Times New Roman"/>
                <w:kern w:val="0"/>
                <w:szCs w:val="24"/>
                <w:lang w:eastAsia="es-ES"/>
              </w:rPr>
              <w:t xml:space="preserve"> y </w:t>
            </w:r>
            <w:hyperlink r:id="rId80" w:anchor="316" w:tgtFrame="_blank" w:history="1">
              <w:r w:rsidRPr="00DD7418">
                <w:rPr>
                  <w:rFonts w:ascii="Georgia" w:eastAsia="Times New Roman" w:hAnsi="Georgia" w:cs="Times New Roman"/>
                  <w:color w:val="000000"/>
                  <w:kern w:val="0"/>
                  <w:szCs w:val="24"/>
                  <w:u w:val="single"/>
                  <w:lang w:eastAsia="es-ES"/>
                </w:rPr>
                <w:t>316</w:t>
              </w:r>
            </w:hyperlink>
            <w:r w:rsidRPr="00DD7418">
              <w:rPr>
                <w:rFonts w:ascii="Georgia" w:eastAsia="Times New Roman" w:hAnsi="Georgia" w:cs="Times New Roman"/>
                <w:kern w:val="0"/>
                <w:szCs w:val="24"/>
                <w:lang w:eastAsia="es-ES"/>
              </w:rPr>
              <w:t xml:space="preserve"> de la Ley 685 del 2001 Código de Minas.</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Presidente del honorable Senado de la República,</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HERNÁN FRANCISCO ANDRADE SERRANO.</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Secretario General del honorable Senado de la República,</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EMILIO OTERO DAJUD.</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Presidente de la honorable Cámara de Representantes,</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GERMÁN VARÓN COTRINO.</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Secretario General de la honorable Cámara de Representantes,</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JESÚS ALFONSO RODRÍGUEZ CAMARGO.</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REPÚBLICA DE COLOMBIA – GOBIERNO NACIONAL</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Publíquese y cúmplase.</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Dada en Bogotá, D. C., a 9 de febrero de 2010.</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Ministro de Hacienda y Crédito Público de la República de Colombia, delegatario de funciones presidenciales, conforme al Decreto 373 de 2010,</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ÓSCAR IVÁN ZULUAGA ESCOBAR</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Ministro de Hacienda y Crédito Público,</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ÓSCAR IVÁN ZULUAGA ESCOBAR.</w:t>
            </w:r>
          </w:p>
          <w:p w:rsidR="00DD7418" w:rsidRPr="00DD7418" w:rsidRDefault="00DD7418" w:rsidP="00DD7418">
            <w:pPr>
              <w:spacing w:after="0"/>
              <w:jc w:val="center"/>
              <w:rPr>
                <w:rFonts w:ascii="Georgia" w:eastAsia="Times New Roman" w:hAnsi="Georgia" w:cs="Times New Roman"/>
                <w:kern w:val="0"/>
                <w:szCs w:val="24"/>
                <w:lang w:eastAsia="es-ES"/>
              </w:rPr>
            </w:pPr>
            <w:r w:rsidRPr="00DD7418">
              <w:rPr>
                <w:rFonts w:ascii="Georgia" w:eastAsia="Times New Roman" w:hAnsi="Georgia" w:cs="Times New Roman"/>
                <w:kern w:val="0"/>
                <w:szCs w:val="24"/>
                <w:lang w:eastAsia="es-ES"/>
              </w:rPr>
              <w:t>El Ministro de Minas y Energía,</w:t>
            </w:r>
          </w:p>
          <w:p w:rsidR="00DD7418" w:rsidRPr="00DD7418" w:rsidRDefault="00DD7418" w:rsidP="00DD7418">
            <w:pPr>
              <w:spacing w:after="0"/>
              <w:jc w:val="center"/>
              <w:rPr>
                <w:rFonts w:ascii="Georgia" w:eastAsia="Times New Roman" w:hAnsi="Georgia" w:cs="Times New Roman"/>
                <w:color w:val="808080"/>
                <w:kern w:val="0"/>
                <w:szCs w:val="24"/>
                <w:lang w:eastAsia="es-ES"/>
              </w:rPr>
            </w:pPr>
            <w:r w:rsidRPr="00DD7418">
              <w:rPr>
                <w:rFonts w:ascii="Georgia" w:eastAsia="Times New Roman" w:hAnsi="Georgia" w:cs="Times New Roman"/>
                <w:color w:val="808080"/>
                <w:kern w:val="0"/>
                <w:szCs w:val="24"/>
                <w:lang w:eastAsia="es-ES"/>
              </w:rPr>
              <w:t>HERNÁN MARTÍNEZ TORRES.</w:t>
            </w:r>
          </w:p>
        </w:tc>
      </w:tr>
    </w:tbl>
    <w:p w:rsidR="00033CD0" w:rsidRDefault="00DD7418">
      <w:r w:rsidRPr="00DD7418">
        <w:lastRenderedPageBreak/>
        <w:t>http://www.secretariasenado.gov.co/senado/basedoc/ley/2010/ley_1382_2010.html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046DB"/>
    <w:rsid w:val="00033CD0"/>
    <w:rsid w:val="004046DB"/>
    <w:rsid w:val="00622087"/>
    <w:rsid w:val="007A584B"/>
    <w:rsid w:val="0080374B"/>
    <w:rsid w:val="00B315A6"/>
    <w:rsid w:val="00D54394"/>
    <w:rsid w:val="00DD74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D7418"/>
    <w:rPr>
      <w:color w:val="0000FF"/>
      <w:u w:val="single"/>
    </w:rPr>
  </w:style>
  <w:style w:type="paragraph" w:styleId="z-Principiodelformulario">
    <w:name w:val="HTML Top of Form"/>
    <w:basedOn w:val="Normal"/>
    <w:next w:val="Normal"/>
    <w:link w:val="z-PrincipiodelformularioCar"/>
    <w:hidden/>
    <w:uiPriority w:val="99"/>
    <w:semiHidden/>
    <w:unhideWhenUsed/>
    <w:rsid w:val="00DD7418"/>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DD7418"/>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DD7418"/>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DD7418"/>
    <w:rPr>
      <w:rFonts w:ascii="Arial" w:eastAsia="Times New Roman" w:hAnsi="Arial" w:cs="Arial"/>
      <w:vanish/>
      <w:kern w:val="0"/>
      <w:sz w:val="16"/>
      <w:szCs w:val="16"/>
      <w:lang w:eastAsia="es-ES"/>
    </w:rPr>
  </w:style>
  <w:style w:type="character" w:customStyle="1" w:styleId="textonavy1">
    <w:name w:val="texto_navy1"/>
    <w:basedOn w:val="Fuentedeprrafopredeter"/>
    <w:rsid w:val="00DD7418"/>
    <w:rPr>
      <w:color w:val="000080"/>
    </w:rPr>
  </w:style>
</w:styles>
</file>

<file path=word/webSettings.xml><?xml version="1.0" encoding="utf-8"?>
<w:webSettings xmlns:r="http://schemas.openxmlformats.org/officeDocument/2006/relationships" xmlns:w="http://schemas.openxmlformats.org/wordprocessingml/2006/main">
  <w:divs>
    <w:div w:id="126137410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998414045">
          <w:marLeft w:val="0"/>
          <w:marRight w:val="0"/>
          <w:marTop w:val="0"/>
          <w:marBottom w:val="0"/>
          <w:divBdr>
            <w:top w:val="none" w:sz="0" w:space="0" w:color="auto"/>
            <w:left w:val="none" w:sz="0" w:space="0" w:color="auto"/>
            <w:bottom w:val="none" w:sz="0" w:space="0" w:color="auto"/>
            <w:right w:val="none" w:sz="0" w:space="0" w:color="auto"/>
          </w:divBdr>
        </w:div>
        <w:div w:id="354119398">
          <w:marLeft w:val="0"/>
          <w:marRight w:val="0"/>
          <w:marTop w:val="0"/>
          <w:marBottom w:val="0"/>
          <w:divBdr>
            <w:top w:val="none" w:sz="0" w:space="0" w:color="auto"/>
            <w:left w:val="none" w:sz="0" w:space="0" w:color="auto"/>
            <w:bottom w:val="none" w:sz="0" w:space="0" w:color="auto"/>
            <w:right w:val="none" w:sz="0" w:space="0" w:color="auto"/>
          </w:divBdr>
        </w:div>
        <w:div w:id="214778076">
          <w:marLeft w:val="0"/>
          <w:marRight w:val="0"/>
          <w:marTop w:val="0"/>
          <w:marBottom w:val="0"/>
          <w:divBdr>
            <w:top w:val="none" w:sz="0" w:space="0" w:color="auto"/>
            <w:left w:val="none" w:sz="0" w:space="0" w:color="auto"/>
            <w:bottom w:val="none" w:sz="0" w:space="0" w:color="auto"/>
            <w:right w:val="none" w:sz="0" w:space="0" w:color="auto"/>
          </w:divBdr>
        </w:div>
        <w:div w:id="1304655933">
          <w:marLeft w:val="0"/>
          <w:marRight w:val="0"/>
          <w:marTop w:val="0"/>
          <w:marBottom w:val="0"/>
          <w:divBdr>
            <w:top w:val="none" w:sz="0" w:space="0" w:color="auto"/>
            <w:left w:val="none" w:sz="0" w:space="0" w:color="auto"/>
            <w:bottom w:val="none" w:sz="0" w:space="0" w:color="auto"/>
            <w:right w:val="none" w:sz="0" w:space="0" w:color="auto"/>
          </w:divBdr>
        </w:div>
        <w:div w:id="1473017554">
          <w:marLeft w:val="0"/>
          <w:marRight w:val="0"/>
          <w:marTop w:val="0"/>
          <w:marBottom w:val="0"/>
          <w:divBdr>
            <w:top w:val="none" w:sz="0" w:space="0" w:color="auto"/>
            <w:left w:val="none" w:sz="0" w:space="0" w:color="auto"/>
            <w:bottom w:val="none" w:sz="0" w:space="0" w:color="auto"/>
            <w:right w:val="none" w:sz="0" w:space="0" w:color="auto"/>
          </w:divBdr>
        </w:div>
        <w:div w:id="2055812469">
          <w:marLeft w:val="0"/>
          <w:marRight w:val="0"/>
          <w:marTop w:val="0"/>
          <w:marBottom w:val="0"/>
          <w:divBdr>
            <w:top w:val="none" w:sz="0" w:space="0" w:color="auto"/>
            <w:left w:val="none" w:sz="0" w:space="0" w:color="auto"/>
            <w:bottom w:val="none" w:sz="0" w:space="0" w:color="auto"/>
            <w:right w:val="none" w:sz="0" w:space="0" w:color="auto"/>
          </w:divBdr>
        </w:div>
        <w:div w:id="1582368015">
          <w:marLeft w:val="0"/>
          <w:marRight w:val="0"/>
          <w:marTop w:val="0"/>
          <w:marBottom w:val="0"/>
          <w:divBdr>
            <w:top w:val="none" w:sz="0" w:space="0" w:color="auto"/>
            <w:left w:val="none" w:sz="0" w:space="0" w:color="auto"/>
            <w:bottom w:val="none" w:sz="0" w:space="0" w:color="auto"/>
            <w:right w:val="none" w:sz="0" w:space="0" w:color="auto"/>
          </w:divBdr>
        </w:div>
        <w:div w:id="125858921">
          <w:marLeft w:val="0"/>
          <w:marRight w:val="0"/>
          <w:marTop w:val="0"/>
          <w:marBottom w:val="0"/>
          <w:divBdr>
            <w:top w:val="none" w:sz="0" w:space="0" w:color="auto"/>
            <w:left w:val="none" w:sz="0" w:space="0" w:color="auto"/>
            <w:bottom w:val="none" w:sz="0" w:space="0" w:color="auto"/>
            <w:right w:val="none" w:sz="0" w:space="0" w:color="auto"/>
          </w:divBdr>
        </w:div>
        <w:div w:id="49547526">
          <w:marLeft w:val="0"/>
          <w:marRight w:val="0"/>
          <w:marTop w:val="0"/>
          <w:marBottom w:val="0"/>
          <w:divBdr>
            <w:top w:val="none" w:sz="0" w:space="0" w:color="auto"/>
            <w:left w:val="none" w:sz="0" w:space="0" w:color="auto"/>
            <w:bottom w:val="none" w:sz="0" w:space="0" w:color="auto"/>
            <w:right w:val="none" w:sz="0" w:space="0" w:color="auto"/>
          </w:divBdr>
        </w:div>
        <w:div w:id="661395126">
          <w:marLeft w:val="0"/>
          <w:marRight w:val="0"/>
          <w:marTop w:val="0"/>
          <w:marBottom w:val="0"/>
          <w:divBdr>
            <w:top w:val="none" w:sz="0" w:space="0" w:color="auto"/>
            <w:left w:val="none" w:sz="0" w:space="0" w:color="auto"/>
            <w:bottom w:val="none" w:sz="0" w:space="0" w:color="auto"/>
            <w:right w:val="none" w:sz="0" w:space="0" w:color="auto"/>
          </w:divBdr>
        </w:div>
        <w:div w:id="1113285029">
          <w:marLeft w:val="0"/>
          <w:marRight w:val="0"/>
          <w:marTop w:val="0"/>
          <w:marBottom w:val="0"/>
          <w:divBdr>
            <w:top w:val="none" w:sz="0" w:space="0" w:color="auto"/>
            <w:left w:val="none" w:sz="0" w:space="0" w:color="auto"/>
            <w:bottom w:val="none" w:sz="0" w:space="0" w:color="auto"/>
            <w:right w:val="none" w:sz="0" w:space="0" w:color="auto"/>
          </w:divBdr>
        </w:div>
        <w:div w:id="702827310">
          <w:marLeft w:val="0"/>
          <w:marRight w:val="0"/>
          <w:marTop w:val="0"/>
          <w:marBottom w:val="0"/>
          <w:divBdr>
            <w:top w:val="none" w:sz="0" w:space="0" w:color="auto"/>
            <w:left w:val="none" w:sz="0" w:space="0" w:color="auto"/>
            <w:bottom w:val="none" w:sz="0" w:space="0" w:color="auto"/>
            <w:right w:val="none" w:sz="0" w:space="0" w:color="auto"/>
          </w:divBdr>
        </w:div>
        <w:div w:id="1146432717">
          <w:marLeft w:val="0"/>
          <w:marRight w:val="0"/>
          <w:marTop w:val="0"/>
          <w:marBottom w:val="0"/>
          <w:divBdr>
            <w:top w:val="none" w:sz="0" w:space="0" w:color="auto"/>
            <w:left w:val="none" w:sz="0" w:space="0" w:color="auto"/>
            <w:bottom w:val="none" w:sz="0" w:space="0" w:color="auto"/>
            <w:right w:val="none" w:sz="0" w:space="0" w:color="auto"/>
          </w:divBdr>
        </w:div>
        <w:div w:id="1488326847">
          <w:marLeft w:val="0"/>
          <w:marRight w:val="0"/>
          <w:marTop w:val="0"/>
          <w:marBottom w:val="0"/>
          <w:divBdr>
            <w:top w:val="none" w:sz="0" w:space="0" w:color="auto"/>
            <w:left w:val="none" w:sz="0" w:space="0" w:color="auto"/>
            <w:bottom w:val="none" w:sz="0" w:space="0" w:color="auto"/>
            <w:right w:val="none" w:sz="0" w:space="0" w:color="auto"/>
          </w:divBdr>
        </w:div>
        <w:div w:id="2127120880">
          <w:marLeft w:val="0"/>
          <w:marRight w:val="0"/>
          <w:marTop w:val="0"/>
          <w:marBottom w:val="0"/>
          <w:divBdr>
            <w:top w:val="none" w:sz="0" w:space="0" w:color="auto"/>
            <w:left w:val="none" w:sz="0" w:space="0" w:color="auto"/>
            <w:bottom w:val="none" w:sz="0" w:space="0" w:color="auto"/>
            <w:right w:val="none" w:sz="0" w:space="0" w:color="auto"/>
          </w:divBdr>
        </w:div>
        <w:div w:id="266694020">
          <w:marLeft w:val="0"/>
          <w:marRight w:val="0"/>
          <w:marTop w:val="0"/>
          <w:marBottom w:val="0"/>
          <w:divBdr>
            <w:top w:val="none" w:sz="0" w:space="0" w:color="auto"/>
            <w:left w:val="none" w:sz="0" w:space="0" w:color="auto"/>
            <w:bottom w:val="none" w:sz="0" w:space="0" w:color="auto"/>
            <w:right w:val="none" w:sz="0" w:space="0" w:color="auto"/>
          </w:divBdr>
        </w:div>
        <w:div w:id="152988876">
          <w:marLeft w:val="0"/>
          <w:marRight w:val="0"/>
          <w:marTop w:val="0"/>
          <w:marBottom w:val="0"/>
          <w:divBdr>
            <w:top w:val="none" w:sz="0" w:space="0" w:color="auto"/>
            <w:left w:val="none" w:sz="0" w:space="0" w:color="auto"/>
            <w:bottom w:val="none" w:sz="0" w:space="0" w:color="auto"/>
            <w:right w:val="none" w:sz="0" w:space="0" w:color="auto"/>
          </w:divBdr>
        </w:div>
        <w:div w:id="1811751079">
          <w:marLeft w:val="0"/>
          <w:marRight w:val="0"/>
          <w:marTop w:val="0"/>
          <w:marBottom w:val="0"/>
          <w:divBdr>
            <w:top w:val="none" w:sz="0" w:space="0" w:color="auto"/>
            <w:left w:val="none" w:sz="0" w:space="0" w:color="auto"/>
            <w:bottom w:val="none" w:sz="0" w:space="0" w:color="auto"/>
            <w:right w:val="none" w:sz="0" w:space="0" w:color="auto"/>
          </w:divBdr>
        </w:div>
        <w:div w:id="868761391">
          <w:marLeft w:val="0"/>
          <w:marRight w:val="0"/>
          <w:marTop w:val="0"/>
          <w:marBottom w:val="0"/>
          <w:divBdr>
            <w:top w:val="none" w:sz="0" w:space="0" w:color="auto"/>
            <w:left w:val="none" w:sz="0" w:space="0" w:color="auto"/>
            <w:bottom w:val="none" w:sz="0" w:space="0" w:color="auto"/>
            <w:right w:val="none" w:sz="0" w:space="0" w:color="auto"/>
          </w:divBdr>
        </w:div>
        <w:div w:id="360976614">
          <w:marLeft w:val="0"/>
          <w:marRight w:val="0"/>
          <w:marTop w:val="0"/>
          <w:marBottom w:val="0"/>
          <w:divBdr>
            <w:top w:val="none" w:sz="0" w:space="0" w:color="auto"/>
            <w:left w:val="none" w:sz="0" w:space="0" w:color="auto"/>
            <w:bottom w:val="none" w:sz="0" w:space="0" w:color="auto"/>
            <w:right w:val="none" w:sz="0" w:space="0" w:color="auto"/>
          </w:divBdr>
        </w:div>
        <w:div w:id="1606384393">
          <w:marLeft w:val="0"/>
          <w:marRight w:val="0"/>
          <w:marTop w:val="0"/>
          <w:marBottom w:val="0"/>
          <w:divBdr>
            <w:top w:val="none" w:sz="0" w:space="0" w:color="auto"/>
            <w:left w:val="none" w:sz="0" w:space="0" w:color="auto"/>
            <w:bottom w:val="none" w:sz="0" w:space="0" w:color="auto"/>
            <w:right w:val="none" w:sz="0" w:space="0" w:color="auto"/>
          </w:divBdr>
        </w:div>
        <w:div w:id="1088117302">
          <w:marLeft w:val="0"/>
          <w:marRight w:val="0"/>
          <w:marTop w:val="0"/>
          <w:marBottom w:val="0"/>
          <w:divBdr>
            <w:top w:val="none" w:sz="0" w:space="0" w:color="auto"/>
            <w:left w:val="none" w:sz="0" w:space="0" w:color="auto"/>
            <w:bottom w:val="none" w:sz="0" w:space="0" w:color="auto"/>
            <w:right w:val="none" w:sz="0" w:space="0" w:color="auto"/>
          </w:divBdr>
        </w:div>
        <w:div w:id="2049866993">
          <w:marLeft w:val="0"/>
          <w:marRight w:val="0"/>
          <w:marTop w:val="0"/>
          <w:marBottom w:val="0"/>
          <w:divBdr>
            <w:top w:val="none" w:sz="0" w:space="0" w:color="auto"/>
            <w:left w:val="none" w:sz="0" w:space="0" w:color="auto"/>
            <w:bottom w:val="none" w:sz="0" w:space="0" w:color="auto"/>
            <w:right w:val="none" w:sz="0" w:space="0" w:color="auto"/>
          </w:divBdr>
        </w:div>
        <w:div w:id="1143812862">
          <w:marLeft w:val="0"/>
          <w:marRight w:val="0"/>
          <w:marTop w:val="0"/>
          <w:marBottom w:val="0"/>
          <w:divBdr>
            <w:top w:val="none" w:sz="0" w:space="0" w:color="auto"/>
            <w:left w:val="none" w:sz="0" w:space="0" w:color="auto"/>
            <w:bottom w:val="none" w:sz="0" w:space="0" w:color="auto"/>
            <w:right w:val="none" w:sz="0" w:space="0" w:color="auto"/>
          </w:divBdr>
        </w:div>
        <w:div w:id="1467043057">
          <w:marLeft w:val="0"/>
          <w:marRight w:val="0"/>
          <w:marTop w:val="0"/>
          <w:marBottom w:val="0"/>
          <w:divBdr>
            <w:top w:val="none" w:sz="0" w:space="0" w:color="auto"/>
            <w:left w:val="none" w:sz="0" w:space="0" w:color="auto"/>
            <w:bottom w:val="none" w:sz="0" w:space="0" w:color="auto"/>
            <w:right w:val="none" w:sz="0" w:space="0" w:color="auto"/>
          </w:divBdr>
        </w:div>
        <w:div w:id="1712731221">
          <w:marLeft w:val="0"/>
          <w:marRight w:val="0"/>
          <w:marTop w:val="0"/>
          <w:marBottom w:val="0"/>
          <w:divBdr>
            <w:top w:val="none" w:sz="0" w:space="0" w:color="auto"/>
            <w:left w:val="none" w:sz="0" w:space="0" w:color="auto"/>
            <w:bottom w:val="none" w:sz="0" w:space="0" w:color="auto"/>
            <w:right w:val="none" w:sz="0" w:space="0" w:color="auto"/>
          </w:divBdr>
        </w:div>
        <w:div w:id="1060399887">
          <w:marLeft w:val="0"/>
          <w:marRight w:val="0"/>
          <w:marTop w:val="0"/>
          <w:marBottom w:val="0"/>
          <w:divBdr>
            <w:top w:val="none" w:sz="0" w:space="0" w:color="auto"/>
            <w:left w:val="none" w:sz="0" w:space="0" w:color="auto"/>
            <w:bottom w:val="none" w:sz="0" w:space="0" w:color="auto"/>
            <w:right w:val="none" w:sz="0" w:space="0" w:color="auto"/>
          </w:divBdr>
        </w:div>
        <w:div w:id="1169830097">
          <w:marLeft w:val="0"/>
          <w:marRight w:val="0"/>
          <w:marTop w:val="0"/>
          <w:marBottom w:val="0"/>
          <w:divBdr>
            <w:top w:val="none" w:sz="0" w:space="0" w:color="auto"/>
            <w:left w:val="none" w:sz="0" w:space="0" w:color="auto"/>
            <w:bottom w:val="none" w:sz="0" w:space="0" w:color="auto"/>
            <w:right w:val="none" w:sz="0" w:space="0" w:color="auto"/>
          </w:divBdr>
        </w:div>
        <w:div w:id="1527061176">
          <w:marLeft w:val="0"/>
          <w:marRight w:val="0"/>
          <w:marTop w:val="0"/>
          <w:marBottom w:val="0"/>
          <w:divBdr>
            <w:top w:val="none" w:sz="0" w:space="0" w:color="auto"/>
            <w:left w:val="none" w:sz="0" w:space="0" w:color="auto"/>
            <w:bottom w:val="none" w:sz="0" w:space="0" w:color="auto"/>
            <w:right w:val="none" w:sz="0" w:space="0" w:color="auto"/>
          </w:divBdr>
        </w:div>
        <w:div w:id="61223535">
          <w:marLeft w:val="0"/>
          <w:marRight w:val="0"/>
          <w:marTop w:val="0"/>
          <w:marBottom w:val="0"/>
          <w:divBdr>
            <w:top w:val="none" w:sz="0" w:space="0" w:color="auto"/>
            <w:left w:val="none" w:sz="0" w:space="0" w:color="auto"/>
            <w:bottom w:val="none" w:sz="0" w:space="0" w:color="auto"/>
            <w:right w:val="none" w:sz="0" w:space="0" w:color="auto"/>
          </w:divBdr>
        </w:div>
        <w:div w:id="1552036196">
          <w:marLeft w:val="0"/>
          <w:marRight w:val="0"/>
          <w:marTop w:val="0"/>
          <w:marBottom w:val="0"/>
          <w:divBdr>
            <w:top w:val="none" w:sz="0" w:space="0" w:color="auto"/>
            <w:left w:val="none" w:sz="0" w:space="0" w:color="auto"/>
            <w:bottom w:val="none" w:sz="0" w:space="0" w:color="auto"/>
            <w:right w:val="none" w:sz="0" w:space="0" w:color="auto"/>
          </w:divBdr>
        </w:div>
        <w:div w:id="1579247948">
          <w:marLeft w:val="0"/>
          <w:marRight w:val="0"/>
          <w:marTop w:val="0"/>
          <w:marBottom w:val="0"/>
          <w:divBdr>
            <w:top w:val="none" w:sz="0" w:space="0" w:color="auto"/>
            <w:left w:val="none" w:sz="0" w:space="0" w:color="auto"/>
            <w:bottom w:val="none" w:sz="0" w:space="0" w:color="auto"/>
            <w:right w:val="none" w:sz="0" w:space="0" w:color="auto"/>
          </w:divBdr>
        </w:div>
        <w:div w:id="687873702">
          <w:marLeft w:val="0"/>
          <w:marRight w:val="0"/>
          <w:marTop w:val="0"/>
          <w:marBottom w:val="0"/>
          <w:divBdr>
            <w:top w:val="none" w:sz="0" w:space="0" w:color="auto"/>
            <w:left w:val="none" w:sz="0" w:space="0" w:color="auto"/>
            <w:bottom w:val="none" w:sz="0" w:space="0" w:color="auto"/>
            <w:right w:val="none" w:sz="0" w:space="0" w:color="auto"/>
          </w:divBdr>
        </w:div>
        <w:div w:id="1585455172">
          <w:marLeft w:val="0"/>
          <w:marRight w:val="0"/>
          <w:marTop w:val="0"/>
          <w:marBottom w:val="0"/>
          <w:divBdr>
            <w:top w:val="none" w:sz="0" w:space="0" w:color="auto"/>
            <w:left w:val="none" w:sz="0" w:space="0" w:color="auto"/>
            <w:bottom w:val="none" w:sz="0" w:space="0" w:color="auto"/>
            <w:right w:val="none" w:sz="0" w:space="0" w:color="auto"/>
          </w:divBdr>
        </w:div>
        <w:div w:id="1806896986">
          <w:marLeft w:val="0"/>
          <w:marRight w:val="0"/>
          <w:marTop w:val="0"/>
          <w:marBottom w:val="0"/>
          <w:divBdr>
            <w:top w:val="none" w:sz="0" w:space="0" w:color="auto"/>
            <w:left w:val="none" w:sz="0" w:space="0" w:color="auto"/>
            <w:bottom w:val="none" w:sz="0" w:space="0" w:color="auto"/>
            <w:right w:val="none" w:sz="0" w:space="0" w:color="auto"/>
          </w:divBdr>
        </w:div>
        <w:div w:id="1954552013">
          <w:marLeft w:val="0"/>
          <w:marRight w:val="0"/>
          <w:marTop w:val="0"/>
          <w:marBottom w:val="0"/>
          <w:divBdr>
            <w:top w:val="none" w:sz="0" w:space="0" w:color="auto"/>
            <w:left w:val="none" w:sz="0" w:space="0" w:color="auto"/>
            <w:bottom w:val="none" w:sz="0" w:space="0" w:color="auto"/>
            <w:right w:val="none" w:sz="0" w:space="0" w:color="auto"/>
          </w:divBdr>
        </w:div>
        <w:div w:id="1993482071">
          <w:marLeft w:val="0"/>
          <w:marRight w:val="0"/>
          <w:marTop w:val="0"/>
          <w:marBottom w:val="0"/>
          <w:divBdr>
            <w:top w:val="none" w:sz="0" w:space="0" w:color="auto"/>
            <w:left w:val="none" w:sz="0" w:space="0" w:color="auto"/>
            <w:bottom w:val="none" w:sz="0" w:space="0" w:color="auto"/>
            <w:right w:val="none" w:sz="0" w:space="0" w:color="auto"/>
          </w:divBdr>
        </w:div>
        <w:div w:id="1300455321">
          <w:marLeft w:val="0"/>
          <w:marRight w:val="0"/>
          <w:marTop w:val="0"/>
          <w:marBottom w:val="0"/>
          <w:divBdr>
            <w:top w:val="none" w:sz="0" w:space="0" w:color="auto"/>
            <w:left w:val="none" w:sz="0" w:space="0" w:color="auto"/>
            <w:bottom w:val="none" w:sz="0" w:space="0" w:color="auto"/>
            <w:right w:val="none" w:sz="0" w:space="0" w:color="auto"/>
          </w:divBdr>
        </w:div>
        <w:div w:id="395855914">
          <w:marLeft w:val="0"/>
          <w:marRight w:val="0"/>
          <w:marTop w:val="0"/>
          <w:marBottom w:val="0"/>
          <w:divBdr>
            <w:top w:val="none" w:sz="0" w:space="0" w:color="auto"/>
            <w:left w:val="none" w:sz="0" w:space="0" w:color="auto"/>
            <w:bottom w:val="none" w:sz="0" w:space="0" w:color="auto"/>
            <w:right w:val="none" w:sz="0" w:space="0" w:color="auto"/>
          </w:divBdr>
        </w:div>
        <w:div w:id="481391932">
          <w:marLeft w:val="0"/>
          <w:marRight w:val="0"/>
          <w:marTop w:val="0"/>
          <w:marBottom w:val="0"/>
          <w:divBdr>
            <w:top w:val="none" w:sz="0" w:space="0" w:color="auto"/>
            <w:left w:val="none" w:sz="0" w:space="0" w:color="auto"/>
            <w:bottom w:val="none" w:sz="0" w:space="0" w:color="auto"/>
            <w:right w:val="none" w:sz="0" w:space="0" w:color="auto"/>
          </w:divBdr>
        </w:div>
        <w:div w:id="886525595">
          <w:marLeft w:val="0"/>
          <w:marRight w:val="0"/>
          <w:marTop w:val="0"/>
          <w:marBottom w:val="0"/>
          <w:divBdr>
            <w:top w:val="none" w:sz="0" w:space="0" w:color="auto"/>
            <w:left w:val="none" w:sz="0" w:space="0" w:color="auto"/>
            <w:bottom w:val="none" w:sz="0" w:space="0" w:color="auto"/>
            <w:right w:val="none" w:sz="0" w:space="0" w:color="auto"/>
          </w:divBdr>
        </w:div>
        <w:div w:id="521892863">
          <w:marLeft w:val="0"/>
          <w:marRight w:val="0"/>
          <w:marTop w:val="0"/>
          <w:marBottom w:val="0"/>
          <w:divBdr>
            <w:top w:val="none" w:sz="0" w:space="0" w:color="auto"/>
            <w:left w:val="none" w:sz="0" w:space="0" w:color="auto"/>
            <w:bottom w:val="none" w:sz="0" w:space="0" w:color="auto"/>
            <w:right w:val="none" w:sz="0" w:space="0" w:color="auto"/>
          </w:divBdr>
        </w:div>
        <w:div w:id="722485155">
          <w:marLeft w:val="0"/>
          <w:marRight w:val="0"/>
          <w:marTop w:val="0"/>
          <w:marBottom w:val="0"/>
          <w:divBdr>
            <w:top w:val="none" w:sz="0" w:space="0" w:color="auto"/>
            <w:left w:val="none" w:sz="0" w:space="0" w:color="auto"/>
            <w:bottom w:val="none" w:sz="0" w:space="0" w:color="auto"/>
            <w:right w:val="none" w:sz="0" w:space="0" w:color="auto"/>
          </w:divBdr>
        </w:div>
        <w:div w:id="1623880644">
          <w:marLeft w:val="0"/>
          <w:marRight w:val="0"/>
          <w:marTop w:val="0"/>
          <w:marBottom w:val="0"/>
          <w:divBdr>
            <w:top w:val="none" w:sz="0" w:space="0" w:color="auto"/>
            <w:left w:val="none" w:sz="0" w:space="0" w:color="auto"/>
            <w:bottom w:val="none" w:sz="0" w:space="0" w:color="auto"/>
            <w:right w:val="none" w:sz="0" w:space="0" w:color="auto"/>
          </w:divBdr>
        </w:div>
        <w:div w:id="1447240006">
          <w:marLeft w:val="0"/>
          <w:marRight w:val="0"/>
          <w:marTop w:val="0"/>
          <w:marBottom w:val="0"/>
          <w:divBdr>
            <w:top w:val="none" w:sz="0" w:space="0" w:color="auto"/>
            <w:left w:val="none" w:sz="0" w:space="0" w:color="auto"/>
            <w:bottom w:val="none" w:sz="0" w:space="0" w:color="auto"/>
            <w:right w:val="none" w:sz="0" w:space="0" w:color="auto"/>
          </w:divBdr>
        </w:div>
        <w:div w:id="2057928162">
          <w:marLeft w:val="0"/>
          <w:marRight w:val="0"/>
          <w:marTop w:val="0"/>
          <w:marBottom w:val="0"/>
          <w:divBdr>
            <w:top w:val="none" w:sz="0" w:space="0" w:color="auto"/>
            <w:left w:val="none" w:sz="0" w:space="0" w:color="auto"/>
            <w:bottom w:val="none" w:sz="0" w:space="0" w:color="auto"/>
            <w:right w:val="none" w:sz="0" w:space="0" w:color="auto"/>
          </w:divBdr>
        </w:div>
        <w:div w:id="1748072869">
          <w:marLeft w:val="0"/>
          <w:marRight w:val="0"/>
          <w:marTop w:val="0"/>
          <w:marBottom w:val="0"/>
          <w:divBdr>
            <w:top w:val="none" w:sz="0" w:space="0" w:color="auto"/>
            <w:left w:val="none" w:sz="0" w:space="0" w:color="auto"/>
            <w:bottom w:val="none" w:sz="0" w:space="0" w:color="auto"/>
            <w:right w:val="none" w:sz="0" w:space="0" w:color="auto"/>
          </w:divBdr>
        </w:div>
        <w:div w:id="1659185031">
          <w:marLeft w:val="0"/>
          <w:marRight w:val="0"/>
          <w:marTop w:val="0"/>
          <w:marBottom w:val="0"/>
          <w:divBdr>
            <w:top w:val="none" w:sz="0" w:space="0" w:color="auto"/>
            <w:left w:val="none" w:sz="0" w:space="0" w:color="auto"/>
            <w:bottom w:val="none" w:sz="0" w:space="0" w:color="auto"/>
            <w:right w:val="none" w:sz="0" w:space="0" w:color="auto"/>
          </w:divBdr>
        </w:div>
        <w:div w:id="192230260">
          <w:marLeft w:val="0"/>
          <w:marRight w:val="0"/>
          <w:marTop w:val="0"/>
          <w:marBottom w:val="0"/>
          <w:divBdr>
            <w:top w:val="none" w:sz="0" w:space="0" w:color="auto"/>
            <w:left w:val="none" w:sz="0" w:space="0" w:color="auto"/>
            <w:bottom w:val="none" w:sz="0" w:space="0" w:color="auto"/>
            <w:right w:val="none" w:sz="0" w:space="0" w:color="auto"/>
          </w:divBdr>
        </w:div>
        <w:div w:id="13728447">
          <w:marLeft w:val="0"/>
          <w:marRight w:val="0"/>
          <w:marTop w:val="0"/>
          <w:marBottom w:val="0"/>
          <w:divBdr>
            <w:top w:val="none" w:sz="0" w:space="0" w:color="auto"/>
            <w:left w:val="none" w:sz="0" w:space="0" w:color="auto"/>
            <w:bottom w:val="none" w:sz="0" w:space="0" w:color="auto"/>
            <w:right w:val="none" w:sz="0" w:space="0" w:color="auto"/>
          </w:divBdr>
        </w:div>
        <w:div w:id="291248990">
          <w:marLeft w:val="0"/>
          <w:marRight w:val="0"/>
          <w:marTop w:val="0"/>
          <w:marBottom w:val="0"/>
          <w:divBdr>
            <w:top w:val="none" w:sz="0" w:space="0" w:color="auto"/>
            <w:left w:val="none" w:sz="0" w:space="0" w:color="auto"/>
            <w:bottom w:val="none" w:sz="0" w:space="0" w:color="auto"/>
            <w:right w:val="none" w:sz="0" w:space="0" w:color="auto"/>
          </w:divBdr>
        </w:div>
        <w:div w:id="57175821">
          <w:marLeft w:val="0"/>
          <w:marRight w:val="0"/>
          <w:marTop w:val="0"/>
          <w:marBottom w:val="0"/>
          <w:divBdr>
            <w:top w:val="none" w:sz="0" w:space="0" w:color="auto"/>
            <w:left w:val="none" w:sz="0" w:space="0" w:color="auto"/>
            <w:bottom w:val="none" w:sz="0" w:space="0" w:color="auto"/>
            <w:right w:val="none" w:sz="0" w:space="0" w:color="auto"/>
          </w:divBdr>
        </w:div>
        <w:div w:id="1579319123">
          <w:marLeft w:val="0"/>
          <w:marRight w:val="0"/>
          <w:marTop w:val="0"/>
          <w:marBottom w:val="0"/>
          <w:divBdr>
            <w:top w:val="none" w:sz="0" w:space="0" w:color="auto"/>
            <w:left w:val="none" w:sz="0" w:space="0" w:color="auto"/>
            <w:bottom w:val="none" w:sz="0" w:space="0" w:color="auto"/>
            <w:right w:val="none" w:sz="0" w:space="0" w:color="auto"/>
          </w:divBdr>
        </w:div>
        <w:div w:id="1132015259">
          <w:marLeft w:val="0"/>
          <w:marRight w:val="0"/>
          <w:marTop w:val="0"/>
          <w:marBottom w:val="0"/>
          <w:divBdr>
            <w:top w:val="none" w:sz="0" w:space="0" w:color="auto"/>
            <w:left w:val="none" w:sz="0" w:space="0" w:color="auto"/>
            <w:bottom w:val="none" w:sz="0" w:space="0" w:color="auto"/>
            <w:right w:val="none" w:sz="0" w:space="0" w:color="auto"/>
          </w:divBdr>
        </w:div>
        <w:div w:id="188839666">
          <w:marLeft w:val="0"/>
          <w:marRight w:val="0"/>
          <w:marTop w:val="0"/>
          <w:marBottom w:val="0"/>
          <w:divBdr>
            <w:top w:val="none" w:sz="0" w:space="0" w:color="auto"/>
            <w:left w:val="none" w:sz="0" w:space="0" w:color="auto"/>
            <w:bottom w:val="none" w:sz="0" w:space="0" w:color="auto"/>
            <w:right w:val="none" w:sz="0" w:space="0" w:color="auto"/>
          </w:divBdr>
        </w:div>
        <w:div w:id="979267989">
          <w:marLeft w:val="0"/>
          <w:marRight w:val="0"/>
          <w:marTop w:val="0"/>
          <w:marBottom w:val="0"/>
          <w:divBdr>
            <w:top w:val="none" w:sz="0" w:space="0" w:color="auto"/>
            <w:left w:val="none" w:sz="0" w:space="0" w:color="auto"/>
            <w:bottom w:val="none" w:sz="0" w:space="0" w:color="auto"/>
            <w:right w:val="none" w:sz="0" w:space="0" w:color="auto"/>
          </w:divBdr>
        </w:div>
        <w:div w:id="56829819">
          <w:marLeft w:val="0"/>
          <w:marRight w:val="0"/>
          <w:marTop w:val="0"/>
          <w:marBottom w:val="0"/>
          <w:divBdr>
            <w:top w:val="none" w:sz="0" w:space="0" w:color="auto"/>
            <w:left w:val="none" w:sz="0" w:space="0" w:color="auto"/>
            <w:bottom w:val="none" w:sz="0" w:space="0" w:color="auto"/>
            <w:right w:val="none" w:sz="0" w:space="0" w:color="auto"/>
          </w:divBdr>
        </w:div>
        <w:div w:id="473832946">
          <w:marLeft w:val="0"/>
          <w:marRight w:val="0"/>
          <w:marTop w:val="0"/>
          <w:marBottom w:val="0"/>
          <w:divBdr>
            <w:top w:val="none" w:sz="0" w:space="0" w:color="auto"/>
            <w:left w:val="none" w:sz="0" w:space="0" w:color="auto"/>
            <w:bottom w:val="none" w:sz="0" w:space="0" w:color="auto"/>
            <w:right w:val="none" w:sz="0" w:space="0" w:color="auto"/>
          </w:divBdr>
        </w:div>
        <w:div w:id="1854802946">
          <w:marLeft w:val="0"/>
          <w:marRight w:val="0"/>
          <w:marTop w:val="0"/>
          <w:marBottom w:val="0"/>
          <w:divBdr>
            <w:top w:val="none" w:sz="0" w:space="0" w:color="auto"/>
            <w:left w:val="none" w:sz="0" w:space="0" w:color="auto"/>
            <w:bottom w:val="none" w:sz="0" w:space="0" w:color="auto"/>
            <w:right w:val="none" w:sz="0" w:space="0" w:color="auto"/>
          </w:divBdr>
        </w:div>
        <w:div w:id="765466183">
          <w:marLeft w:val="0"/>
          <w:marRight w:val="0"/>
          <w:marTop w:val="0"/>
          <w:marBottom w:val="0"/>
          <w:divBdr>
            <w:top w:val="none" w:sz="0" w:space="0" w:color="auto"/>
            <w:left w:val="none" w:sz="0" w:space="0" w:color="auto"/>
            <w:bottom w:val="none" w:sz="0" w:space="0" w:color="auto"/>
            <w:right w:val="none" w:sz="0" w:space="0" w:color="auto"/>
          </w:divBdr>
        </w:div>
        <w:div w:id="652756616">
          <w:marLeft w:val="0"/>
          <w:marRight w:val="0"/>
          <w:marTop w:val="0"/>
          <w:marBottom w:val="0"/>
          <w:divBdr>
            <w:top w:val="none" w:sz="0" w:space="0" w:color="auto"/>
            <w:left w:val="none" w:sz="0" w:space="0" w:color="auto"/>
            <w:bottom w:val="none" w:sz="0" w:space="0" w:color="auto"/>
            <w:right w:val="none" w:sz="0" w:space="0" w:color="auto"/>
          </w:divBdr>
        </w:div>
        <w:div w:id="1733770989">
          <w:marLeft w:val="0"/>
          <w:marRight w:val="0"/>
          <w:marTop w:val="0"/>
          <w:marBottom w:val="0"/>
          <w:divBdr>
            <w:top w:val="none" w:sz="0" w:space="0" w:color="auto"/>
            <w:left w:val="none" w:sz="0" w:space="0" w:color="auto"/>
            <w:bottom w:val="none" w:sz="0" w:space="0" w:color="auto"/>
            <w:right w:val="none" w:sz="0" w:space="0" w:color="auto"/>
          </w:divBdr>
        </w:div>
        <w:div w:id="514147587">
          <w:marLeft w:val="0"/>
          <w:marRight w:val="0"/>
          <w:marTop w:val="0"/>
          <w:marBottom w:val="0"/>
          <w:divBdr>
            <w:top w:val="none" w:sz="0" w:space="0" w:color="auto"/>
            <w:left w:val="none" w:sz="0" w:space="0" w:color="auto"/>
            <w:bottom w:val="none" w:sz="0" w:space="0" w:color="auto"/>
            <w:right w:val="none" w:sz="0" w:space="0" w:color="auto"/>
          </w:divBdr>
        </w:div>
        <w:div w:id="325742977">
          <w:marLeft w:val="0"/>
          <w:marRight w:val="0"/>
          <w:marTop w:val="0"/>
          <w:marBottom w:val="0"/>
          <w:divBdr>
            <w:top w:val="none" w:sz="0" w:space="0" w:color="auto"/>
            <w:left w:val="none" w:sz="0" w:space="0" w:color="auto"/>
            <w:bottom w:val="none" w:sz="0" w:space="0" w:color="auto"/>
            <w:right w:val="none" w:sz="0" w:space="0" w:color="auto"/>
          </w:divBdr>
        </w:div>
        <w:div w:id="2075278708">
          <w:marLeft w:val="0"/>
          <w:marRight w:val="0"/>
          <w:marTop w:val="0"/>
          <w:marBottom w:val="0"/>
          <w:divBdr>
            <w:top w:val="none" w:sz="0" w:space="0" w:color="auto"/>
            <w:left w:val="none" w:sz="0" w:space="0" w:color="auto"/>
            <w:bottom w:val="none" w:sz="0" w:space="0" w:color="auto"/>
            <w:right w:val="none" w:sz="0" w:space="0" w:color="auto"/>
          </w:divBdr>
        </w:div>
        <w:div w:id="763693088">
          <w:marLeft w:val="0"/>
          <w:marRight w:val="0"/>
          <w:marTop w:val="0"/>
          <w:marBottom w:val="0"/>
          <w:divBdr>
            <w:top w:val="none" w:sz="0" w:space="0" w:color="auto"/>
            <w:left w:val="none" w:sz="0" w:space="0" w:color="auto"/>
            <w:bottom w:val="none" w:sz="0" w:space="0" w:color="auto"/>
            <w:right w:val="none" w:sz="0" w:space="0" w:color="auto"/>
          </w:divBdr>
        </w:div>
        <w:div w:id="803154054">
          <w:marLeft w:val="0"/>
          <w:marRight w:val="0"/>
          <w:marTop w:val="0"/>
          <w:marBottom w:val="0"/>
          <w:divBdr>
            <w:top w:val="none" w:sz="0" w:space="0" w:color="auto"/>
            <w:left w:val="none" w:sz="0" w:space="0" w:color="auto"/>
            <w:bottom w:val="none" w:sz="0" w:space="0" w:color="auto"/>
            <w:right w:val="none" w:sz="0" w:space="0" w:color="auto"/>
          </w:divBdr>
        </w:div>
        <w:div w:id="1009865692">
          <w:marLeft w:val="0"/>
          <w:marRight w:val="0"/>
          <w:marTop w:val="0"/>
          <w:marBottom w:val="0"/>
          <w:divBdr>
            <w:top w:val="none" w:sz="0" w:space="0" w:color="auto"/>
            <w:left w:val="none" w:sz="0" w:space="0" w:color="auto"/>
            <w:bottom w:val="none" w:sz="0" w:space="0" w:color="auto"/>
            <w:right w:val="none" w:sz="0" w:space="0" w:color="auto"/>
          </w:divBdr>
        </w:div>
        <w:div w:id="1185632272">
          <w:marLeft w:val="0"/>
          <w:marRight w:val="0"/>
          <w:marTop w:val="0"/>
          <w:marBottom w:val="0"/>
          <w:divBdr>
            <w:top w:val="none" w:sz="0" w:space="0" w:color="auto"/>
            <w:left w:val="none" w:sz="0" w:space="0" w:color="auto"/>
            <w:bottom w:val="none" w:sz="0" w:space="0" w:color="auto"/>
            <w:right w:val="none" w:sz="0" w:space="0" w:color="auto"/>
          </w:divBdr>
        </w:div>
        <w:div w:id="204609847">
          <w:marLeft w:val="0"/>
          <w:marRight w:val="0"/>
          <w:marTop w:val="0"/>
          <w:marBottom w:val="0"/>
          <w:divBdr>
            <w:top w:val="none" w:sz="0" w:space="0" w:color="auto"/>
            <w:left w:val="none" w:sz="0" w:space="0" w:color="auto"/>
            <w:bottom w:val="none" w:sz="0" w:space="0" w:color="auto"/>
            <w:right w:val="none" w:sz="0" w:space="0" w:color="auto"/>
          </w:divBdr>
        </w:div>
        <w:div w:id="1722167686">
          <w:marLeft w:val="0"/>
          <w:marRight w:val="0"/>
          <w:marTop w:val="0"/>
          <w:marBottom w:val="0"/>
          <w:divBdr>
            <w:top w:val="none" w:sz="0" w:space="0" w:color="auto"/>
            <w:left w:val="none" w:sz="0" w:space="0" w:color="auto"/>
            <w:bottom w:val="none" w:sz="0" w:space="0" w:color="auto"/>
            <w:right w:val="none" w:sz="0" w:space="0" w:color="auto"/>
          </w:divBdr>
        </w:div>
        <w:div w:id="2051883350">
          <w:marLeft w:val="0"/>
          <w:marRight w:val="0"/>
          <w:marTop w:val="0"/>
          <w:marBottom w:val="0"/>
          <w:divBdr>
            <w:top w:val="none" w:sz="0" w:space="0" w:color="auto"/>
            <w:left w:val="none" w:sz="0" w:space="0" w:color="auto"/>
            <w:bottom w:val="none" w:sz="0" w:space="0" w:color="auto"/>
            <w:right w:val="none" w:sz="0" w:space="0" w:color="auto"/>
          </w:divBdr>
        </w:div>
        <w:div w:id="193153424">
          <w:marLeft w:val="0"/>
          <w:marRight w:val="0"/>
          <w:marTop w:val="0"/>
          <w:marBottom w:val="0"/>
          <w:divBdr>
            <w:top w:val="none" w:sz="0" w:space="0" w:color="auto"/>
            <w:left w:val="none" w:sz="0" w:space="0" w:color="auto"/>
            <w:bottom w:val="none" w:sz="0" w:space="0" w:color="auto"/>
            <w:right w:val="none" w:sz="0" w:space="0" w:color="auto"/>
          </w:divBdr>
        </w:div>
        <w:div w:id="1205100886">
          <w:marLeft w:val="0"/>
          <w:marRight w:val="0"/>
          <w:marTop w:val="0"/>
          <w:marBottom w:val="0"/>
          <w:divBdr>
            <w:top w:val="none" w:sz="0" w:space="0" w:color="auto"/>
            <w:left w:val="none" w:sz="0" w:space="0" w:color="auto"/>
            <w:bottom w:val="none" w:sz="0" w:space="0" w:color="auto"/>
            <w:right w:val="none" w:sz="0" w:space="0" w:color="auto"/>
          </w:divBdr>
        </w:div>
        <w:div w:id="857425152">
          <w:marLeft w:val="0"/>
          <w:marRight w:val="0"/>
          <w:marTop w:val="0"/>
          <w:marBottom w:val="0"/>
          <w:divBdr>
            <w:top w:val="none" w:sz="0" w:space="0" w:color="auto"/>
            <w:left w:val="none" w:sz="0" w:space="0" w:color="auto"/>
            <w:bottom w:val="none" w:sz="0" w:space="0" w:color="auto"/>
            <w:right w:val="none" w:sz="0" w:space="0" w:color="auto"/>
          </w:divBdr>
        </w:div>
        <w:div w:id="904994773">
          <w:marLeft w:val="0"/>
          <w:marRight w:val="0"/>
          <w:marTop w:val="0"/>
          <w:marBottom w:val="0"/>
          <w:divBdr>
            <w:top w:val="none" w:sz="0" w:space="0" w:color="auto"/>
            <w:left w:val="none" w:sz="0" w:space="0" w:color="auto"/>
            <w:bottom w:val="none" w:sz="0" w:space="0" w:color="auto"/>
            <w:right w:val="none" w:sz="0" w:space="0" w:color="auto"/>
          </w:divBdr>
        </w:div>
        <w:div w:id="860433458">
          <w:marLeft w:val="0"/>
          <w:marRight w:val="0"/>
          <w:marTop w:val="0"/>
          <w:marBottom w:val="0"/>
          <w:divBdr>
            <w:top w:val="none" w:sz="0" w:space="0" w:color="auto"/>
            <w:left w:val="none" w:sz="0" w:space="0" w:color="auto"/>
            <w:bottom w:val="none" w:sz="0" w:space="0" w:color="auto"/>
            <w:right w:val="none" w:sz="0" w:space="0" w:color="auto"/>
          </w:divBdr>
        </w:div>
        <w:div w:id="116148084">
          <w:marLeft w:val="0"/>
          <w:marRight w:val="0"/>
          <w:marTop w:val="0"/>
          <w:marBottom w:val="0"/>
          <w:divBdr>
            <w:top w:val="none" w:sz="0" w:space="0" w:color="auto"/>
            <w:left w:val="none" w:sz="0" w:space="0" w:color="auto"/>
            <w:bottom w:val="none" w:sz="0" w:space="0" w:color="auto"/>
            <w:right w:val="none" w:sz="0" w:space="0" w:color="auto"/>
          </w:divBdr>
        </w:div>
        <w:div w:id="1088816417">
          <w:marLeft w:val="0"/>
          <w:marRight w:val="0"/>
          <w:marTop w:val="0"/>
          <w:marBottom w:val="0"/>
          <w:divBdr>
            <w:top w:val="none" w:sz="0" w:space="0" w:color="auto"/>
            <w:left w:val="none" w:sz="0" w:space="0" w:color="auto"/>
            <w:bottom w:val="none" w:sz="0" w:space="0" w:color="auto"/>
            <w:right w:val="none" w:sz="0" w:space="0" w:color="auto"/>
          </w:divBdr>
        </w:div>
        <w:div w:id="1431588910">
          <w:marLeft w:val="0"/>
          <w:marRight w:val="0"/>
          <w:marTop w:val="0"/>
          <w:marBottom w:val="0"/>
          <w:divBdr>
            <w:top w:val="none" w:sz="0" w:space="0" w:color="auto"/>
            <w:left w:val="none" w:sz="0" w:space="0" w:color="auto"/>
            <w:bottom w:val="none" w:sz="0" w:space="0" w:color="auto"/>
            <w:right w:val="none" w:sz="0" w:space="0" w:color="auto"/>
          </w:divBdr>
        </w:div>
        <w:div w:id="625044496">
          <w:marLeft w:val="0"/>
          <w:marRight w:val="0"/>
          <w:marTop w:val="0"/>
          <w:marBottom w:val="0"/>
          <w:divBdr>
            <w:top w:val="none" w:sz="0" w:space="0" w:color="auto"/>
            <w:left w:val="none" w:sz="0" w:space="0" w:color="auto"/>
            <w:bottom w:val="none" w:sz="0" w:space="0" w:color="auto"/>
            <w:right w:val="none" w:sz="0" w:space="0" w:color="auto"/>
          </w:divBdr>
        </w:div>
        <w:div w:id="1110516202">
          <w:marLeft w:val="0"/>
          <w:marRight w:val="0"/>
          <w:marTop w:val="0"/>
          <w:marBottom w:val="0"/>
          <w:divBdr>
            <w:top w:val="none" w:sz="0" w:space="0" w:color="auto"/>
            <w:left w:val="none" w:sz="0" w:space="0" w:color="auto"/>
            <w:bottom w:val="none" w:sz="0" w:space="0" w:color="auto"/>
            <w:right w:val="none" w:sz="0" w:space="0" w:color="auto"/>
          </w:divBdr>
        </w:div>
        <w:div w:id="829253258">
          <w:marLeft w:val="0"/>
          <w:marRight w:val="0"/>
          <w:marTop w:val="0"/>
          <w:marBottom w:val="0"/>
          <w:divBdr>
            <w:top w:val="none" w:sz="0" w:space="0" w:color="auto"/>
            <w:left w:val="none" w:sz="0" w:space="0" w:color="auto"/>
            <w:bottom w:val="none" w:sz="0" w:space="0" w:color="auto"/>
            <w:right w:val="none" w:sz="0" w:space="0" w:color="auto"/>
          </w:divBdr>
        </w:div>
        <w:div w:id="1505244156">
          <w:marLeft w:val="0"/>
          <w:marRight w:val="0"/>
          <w:marTop w:val="0"/>
          <w:marBottom w:val="0"/>
          <w:divBdr>
            <w:top w:val="none" w:sz="0" w:space="0" w:color="auto"/>
            <w:left w:val="none" w:sz="0" w:space="0" w:color="auto"/>
            <w:bottom w:val="none" w:sz="0" w:space="0" w:color="auto"/>
            <w:right w:val="none" w:sz="0" w:space="0" w:color="auto"/>
          </w:divBdr>
        </w:div>
        <w:div w:id="1935017224">
          <w:marLeft w:val="0"/>
          <w:marRight w:val="0"/>
          <w:marTop w:val="0"/>
          <w:marBottom w:val="0"/>
          <w:divBdr>
            <w:top w:val="none" w:sz="0" w:space="0" w:color="auto"/>
            <w:left w:val="none" w:sz="0" w:space="0" w:color="auto"/>
            <w:bottom w:val="none" w:sz="0" w:space="0" w:color="auto"/>
            <w:right w:val="none" w:sz="0" w:space="0" w:color="auto"/>
          </w:divBdr>
        </w:div>
        <w:div w:id="65498446">
          <w:marLeft w:val="0"/>
          <w:marRight w:val="0"/>
          <w:marTop w:val="0"/>
          <w:marBottom w:val="0"/>
          <w:divBdr>
            <w:top w:val="none" w:sz="0" w:space="0" w:color="auto"/>
            <w:left w:val="none" w:sz="0" w:space="0" w:color="auto"/>
            <w:bottom w:val="none" w:sz="0" w:space="0" w:color="auto"/>
            <w:right w:val="none" w:sz="0" w:space="0" w:color="auto"/>
          </w:divBdr>
        </w:div>
        <w:div w:id="1707680434">
          <w:marLeft w:val="0"/>
          <w:marRight w:val="0"/>
          <w:marTop w:val="0"/>
          <w:marBottom w:val="0"/>
          <w:divBdr>
            <w:top w:val="none" w:sz="0" w:space="0" w:color="auto"/>
            <w:left w:val="none" w:sz="0" w:space="0" w:color="auto"/>
            <w:bottom w:val="none" w:sz="0" w:space="0" w:color="auto"/>
            <w:right w:val="none" w:sz="0" w:space="0" w:color="auto"/>
          </w:divBdr>
        </w:div>
        <w:div w:id="214463679">
          <w:marLeft w:val="0"/>
          <w:marRight w:val="0"/>
          <w:marTop w:val="0"/>
          <w:marBottom w:val="0"/>
          <w:divBdr>
            <w:top w:val="none" w:sz="0" w:space="0" w:color="auto"/>
            <w:left w:val="none" w:sz="0" w:space="0" w:color="auto"/>
            <w:bottom w:val="none" w:sz="0" w:space="0" w:color="auto"/>
            <w:right w:val="none" w:sz="0" w:space="0" w:color="auto"/>
          </w:divBdr>
        </w:div>
        <w:div w:id="1822497693">
          <w:marLeft w:val="0"/>
          <w:marRight w:val="0"/>
          <w:marTop w:val="0"/>
          <w:marBottom w:val="0"/>
          <w:divBdr>
            <w:top w:val="none" w:sz="0" w:space="0" w:color="auto"/>
            <w:left w:val="none" w:sz="0" w:space="0" w:color="auto"/>
            <w:bottom w:val="none" w:sz="0" w:space="0" w:color="auto"/>
            <w:right w:val="none" w:sz="0" w:space="0" w:color="auto"/>
          </w:divBdr>
        </w:div>
        <w:div w:id="1623413208">
          <w:marLeft w:val="0"/>
          <w:marRight w:val="0"/>
          <w:marTop w:val="0"/>
          <w:marBottom w:val="0"/>
          <w:divBdr>
            <w:top w:val="none" w:sz="0" w:space="0" w:color="auto"/>
            <w:left w:val="none" w:sz="0" w:space="0" w:color="auto"/>
            <w:bottom w:val="none" w:sz="0" w:space="0" w:color="auto"/>
            <w:right w:val="none" w:sz="0" w:space="0" w:color="auto"/>
          </w:divBdr>
        </w:div>
        <w:div w:id="1526675067">
          <w:marLeft w:val="0"/>
          <w:marRight w:val="0"/>
          <w:marTop w:val="0"/>
          <w:marBottom w:val="0"/>
          <w:divBdr>
            <w:top w:val="none" w:sz="0" w:space="0" w:color="auto"/>
            <w:left w:val="none" w:sz="0" w:space="0" w:color="auto"/>
            <w:bottom w:val="none" w:sz="0" w:space="0" w:color="auto"/>
            <w:right w:val="none" w:sz="0" w:space="0" w:color="auto"/>
          </w:divBdr>
        </w:div>
        <w:div w:id="836384350">
          <w:marLeft w:val="0"/>
          <w:marRight w:val="0"/>
          <w:marTop w:val="0"/>
          <w:marBottom w:val="0"/>
          <w:divBdr>
            <w:top w:val="none" w:sz="0" w:space="0" w:color="auto"/>
            <w:left w:val="none" w:sz="0" w:space="0" w:color="auto"/>
            <w:bottom w:val="none" w:sz="0" w:space="0" w:color="auto"/>
            <w:right w:val="none" w:sz="0" w:space="0" w:color="auto"/>
          </w:divBdr>
        </w:div>
        <w:div w:id="1138767409">
          <w:marLeft w:val="0"/>
          <w:marRight w:val="0"/>
          <w:marTop w:val="0"/>
          <w:marBottom w:val="0"/>
          <w:divBdr>
            <w:top w:val="none" w:sz="0" w:space="0" w:color="auto"/>
            <w:left w:val="none" w:sz="0" w:space="0" w:color="auto"/>
            <w:bottom w:val="none" w:sz="0" w:space="0" w:color="auto"/>
            <w:right w:val="none" w:sz="0" w:space="0" w:color="auto"/>
          </w:divBdr>
        </w:div>
        <w:div w:id="114951089">
          <w:marLeft w:val="0"/>
          <w:marRight w:val="0"/>
          <w:marTop w:val="0"/>
          <w:marBottom w:val="0"/>
          <w:divBdr>
            <w:top w:val="none" w:sz="0" w:space="0" w:color="auto"/>
            <w:left w:val="none" w:sz="0" w:space="0" w:color="auto"/>
            <w:bottom w:val="none" w:sz="0" w:space="0" w:color="auto"/>
            <w:right w:val="none" w:sz="0" w:space="0" w:color="auto"/>
          </w:divBdr>
        </w:div>
        <w:div w:id="923495042">
          <w:marLeft w:val="0"/>
          <w:marRight w:val="0"/>
          <w:marTop w:val="0"/>
          <w:marBottom w:val="0"/>
          <w:divBdr>
            <w:top w:val="none" w:sz="0" w:space="0" w:color="auto"/>
            <w:left w:val="none" w:sz="0" w:space="0" w:color="auto"/>
            <w:bottom w:val="none" w:sz="0" w:space="0" w:color="auto"/>
            <w:right w:val="none" w:sz="0" w:space="0" w:color="auto"/>
          </w:divBdr>
        </w:div>
        <w:div w:id="395052374">
          <w:marLeft w:val="0"/>
          <w:marRight w:val="0"/>
          <w:marTop w:val="0"/>
          <w:marBottom w:val="0"/>
          <w:divBdr>
            <w:top w:val="none" w:sz="0" w:space="0" w:color="auto"/>
            <w:left w:val="none" w:sz="0" w:space="0" w:color="auto"/>
            <w:bottom w:val="none" w:sz="0" w:space="0" w:color="auto"/>
            <w:right w:val="none" w:sz="0" w:space="0" w:color="auto"/>
          </w:divBdr>
        </w:div>
        <w:div w:id="979576682">
          <w:marLeft w:val="0"/>
          <w:marRight w:val="0"/>
          <w:marTop w:val="0"/>
          <w:marBottom w:val="0"/>
          <w:divBdr>
            <w:top w:val="none" w:sz="0" w:space="0" w:color="auto"/>
            <w:left w:val="none" w:sz="0" w:space="0" w:color="auto"/>
            <w:bottom w:val="none" w:sz="0" w:space="0" w:color="auto"/>
            <w:right w:val="none" w:sz="0" w:space="0" w:color="auto"/>
          </w:divBdr>
        </w:div>
        <w:div w:id="842741868">
          <w:marLeft w:val="0"/>
          <w:marRight w:val="0"/>
          <w:marTop w:val="0"/>
          <w:marBottom w:val="0"/>
          <w:divBdr>
            <w:top w:val="none" w:sz="0" w:space="0" w:color="auto"/>
            <w:left w:val="none" w:sz="0" w:space="0" w:color="auto"/>
            <w:bottom w:val="none" w:sz="0" w:space="0" w:color="auto"/>
            <w:right w:val="none" w:sz="0" w:space="0" w:color="auto"/>
          </w:divBdr>
        </w:div>
        <w:div w:id="762801262">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2025208421">
          <w:marLeft w:val="0"/>
          <w:marRight w:val="0"/>
          <w:marTop w:val="0"/>
          <w:marBottom w:val="0"/>
          <w:divBdr>
            <w:top w:val="none" w:sz="0" w:space="0" w:color="auto"/>
            <w:left w:val="none" w:sz="0" w:space="0" w:color="auto"/>
            <w:bottom w:val="none" w:sz="0" w:space="0" w:color="auto"/>
            <w:right w:val="none" w:sz="0" w:space="0" w:color="auto"/>
          </w:divBdr>
        </w:div>
        <w:div w:id="1138912265">
          <w:marLeft w:val="0"/>
          <w:marRight w:val="0"/>
          <w:marTop w:val="0"/>
          <w:marBottom w:val="0"/>
          <w:divBdr>
            <w:top w:val="none" w:sz="0" w:space="0" w:color="auto"/>
            <w:left w:val="none" w:sz="0" w:space="0" w:color="auto"/>
            <w:bottom w:val="none" w:sz="0" w:space="0" w:color="auto"/>
            <w:right w:val="none" w:sz="0" w:space="0" w:color="auto"/>
          </w:divBdr>
        </w:div>
        <w:div w:id="958730902">
          <w:marLeft w:val="0"/>
          <w:marRight w:val="0"/>
          <w:marTop w:val="0"/>
          <w:marBottom w:val="0"/>
          <w:divBdr>
            <w:top w:val="none" w:sz="0" w:space="0" w:color="auto"/>
            <w:left w:val="none" w:sz="0" w:space="0" w:color="auto"/>
            <w:bottom w:val="none" w:sz="0" w:space="0" w:color="auto"/>
            <w:right w:val="none" w:sz="0" w:space="0" w:color="auto"/>
          </w:divBdr>
        </w:div>
        <w:div w:id="278880070">
          <w:marLeft w:val="0"/>
          <w:marRight w:val="0"/>
          <w:marTop w:val="0"/>
          <w:marBottom w:val="0"/>
          <w:divBdr>
            <w:top w:val="none" w:sz="0" w:space="0" w:color="auto"/>
            <w:left w:val="none" w:sz="0" w:space="0" w:color="auto"/>
            <w:bottom w:val="none" w:sz="0" w:space="0" w:color="auto"/>
            <w:right w:val="none" w:sz="0" w:space="0" w:color="auto"/>
          </w:divBdr>
        </w:div>
        <w:div w:id="512191053">
          <w:marLeft w:val="0"/>
          <w:marRight w:val="0"/>
          <w:marTop w:val="0"/>
          <w:marBottom w:val="0"/>
          <w:divBdr>
            <w:top w:val="none" w:sz="0" w:space="0" w:color="auto"/>
            <w:left w:val="none" w:sz="0" w:space="0" w:color="auto"/>
            <w:bottom w:val="none" w:sz="0" w:space="0" w:color="auto"/>
            <w:right w:val="none" w:sz="0" w:space="0" w:color="auto"/>
          </w:divBdr>
        </w:div>
        <w:div w:id="1061756281">
          <w:marLeft w:val="0"/>
          <w:marRight w:val="0"/>
          <w:marTop w:val="0"/>
          <w:marBottom w:val="0"/>
          <w:divBdr>
            <w:top w:val="none" w:sz="0" w:space="0" w:color="auto"/>
            <w:left w:val="none" w:sz="0" w:space="0" w:color="auto"/>
            <w:bottom w:val="none" w:sz="0" w:space="0" w:color="auto"/>
            <w:right w:val="none" w:sz="0" w:space="0" w:color="auto"/>
          </w:divBdr>
        </w:div>
        <w:div w:id="833954967">
          <w:marLeft w:val="0"/>
          <w:marRight w:val="0"/>
          <w:marTop w:val="0"/>
          <w:marBottom w:val="0"/>
          <w:divBdr>
            <w:top w:val="none" w:sz="0" w:space="0" w:color="auto"/>
            <w:left w:val="none" w:sz="0" w:space="0" w:color="auto"/>
            <w:bottom w:val="none" w:sz="0" w:space="0" w:color="auto"/>
            <w:right w:val="none" w:sz="0" w:space="0" w:color="auto"/>
          </w:divBdr>
        </w:div>
        <w:div w:id="1463115254">
          <w:marLeft w:val="0"/>
          <w:marRight w:val="0"/>
          <w:marTop w:val="0"/>
          <w:marBottom w:val="0"/>
          <w:divBdr>
            <w:top w:val="none" w:sz="0" w:space="0" w:color="auto"/>
            <w:left w:val="none" w:sz="0" w:space="0" w:color="auto"/>
            <w:bottom w:val="none" w:sz="0" w:space="0" w:color="auto"/>
            <w:right w:val="none" w:sz="0" w:space="0" w:color="auto"/>
          </w:divBdr>
        </w:div>
        <w:div w:id="1028994920">
          <w:marLeft w:val="0"/>
          <w:marRight w:val="0"/>
          <w:marTop w:val="0"/>
          <w:marBottom w:val="0"/>
          <w:divBdr>
            <w:top w:val="none" w:sz="0" w:space="0" w:color="auto"/>
            <w:left w:val="none" w:sz="0" w:space="0" w:color="auto"/>
            <w:bottom w:val="none" w:sz="0" w:space="0" w:color="auto"/>
            <w:right w:val="none" w:sz="0" w:space="0" w:color="auto"/>
          </w:divBdr>
        </w:div>
        <w:div w:id="689063428">
          <w:marLeft w:val="0"/>
          <w:marRight w:val="0"/>
          <w:marTop w:val="0"/>
          <w:marBottom w:val="0"/>
          <w:divBdr>
            <w:top w:val="none" w:sz="0" w:space="0" w:color="auto"/>
            <w:left w:val="none" w:sz="0" w:space="0" w:color="auto"/>
            <w:bottom w:val="none" w:sz="0" w:space="0" w:color="auto"/>
            <w:right w:val="none" w:sz="0" w:space="0" w:color="auto"/>
          </w:divBdr>
        </w:div>
        <w:div w:id="670572492">
          <w:marLeft w:val="0"/>
          <w:marRight w:val="0"/>
          <w:marTop w:val="0"/>
          <w:marBottom w:val="0"/>
          <w:divBdr>
            <w:top w:val="none" w:sz="0" w:space="0" w:color="auto"/>
            <w:left w:val="none" w:sz="0" w:space="0" w:color="auto"/>
            <w:bottom w:val="none" w:sz="0" w:space="0" w:color="auto"/>
            <w:right w:val="none" w:sz="0" w:space="0" w:color="auto"/>
          </w:divBdr>
        </w:div>
        <w:div w:id="1673491644">
          <w:marLeft w:val="0"/>
          <w:marRight w:val="0"/>
          <w:marTop w:val="0"/>
          <w:marBottom w:val="0"/>
          <w:divBdr>
            <w:top w:val="none" w:sz="0" w:space="0" w:color="auto"/>
            <w:left w:val="none" w:sz="0" w:space="0" w:color="auto"/>
            <w:bottom w:val="none" w:sz="0" w:space="0" w:color="auto"/>
            <w:right w:val="none" w:sz="0" w:space="0" w:color="auto"/>
          </w:divBdr>
        </w:div>
        <w:div w:id="2073306441">
          <w:marLeft w:val="0"/>
          <w:marRight w:val="0"/>
          <w:marTop w:val="0"/>
          <w:marBottom w:val="0"/>
          <w:divBdr>
            <w:top w:val="none" w:sz="0" w:space="0" w:color="auto"/>
            <w:left w:val="none" w:sz="0" w:space="0" w:color="auto"/>
            <w:bottom w:val="none" w:sz="0" w:space="0" w:color="auto"/>
            <w:right w:val="none" w:sz="0" w:space="0" w:color="auto"/>
          </w:divBdr>
        </w:div>
        <w:div w:id="1724138015">
          <w:marLeft w:val="0"/>
          <w:marRight w:val="0"/>
          <w:marTop w:val="0"/>
          <w:marBottom w:val="0"/>
          <w:divBdr>
            <w:top w:val="none" w:sz="0" w:space="0" w:color="auto"/>
            <w:left w:val="none" w:sz="0" w:space="0" w:color="auto"/>
            <w:bottom w:val="none" w:sz="0" w:space="0" w:color="auto"/>
            <w:right w:val="none" w:sz="0" w:space="0" w:color="auto"/>
          </w:divBdr>
        </w:div>
        <w:div w:id="1309825888">
          <w:marLeft w:val="0"/>
          <w:marRight w:val="0"/>
          <w:marTop w:val="0"/>
          <w:marBottom w:val="0"/>
          <w:divBdr>
            <w:top w:val="none" w:sz="0" w:space="0" w:color="auto"/>
            <w:left w:val="none" w:sz="0" w:space="0" w:color="auto"/>
            <w:bottom w:val="none" w:sz="0" w:space="0" w:color="auto"/>
            <w:right w:val="none" w:sz="0" w:space="0" w:color="auto"/>
          </w:divBdr>
        </w:div>
        <w:div w:id="68041041">
          <w:marLeft w:val="0"/>
          <w:marRight w:val="0"/>
          <w:marTop w:val="0"/>
          <w:marBottom w:val="0"/>
          <w:divBdr>
            <w:top w:val="none" w:sz="0" w:space="0" w:color="auto"/>
            <w:left w:val="none" w:sz="0" w:space="0" w:color="auto"/>
            <w:bottom w:val="none" w:sz="0" w:space="0" w:color="auto"/>
            <w:right w:val="none" w:sz="0" w:space="0" w:color="auto"/>
          </w:divBdr>
        </w:div>
        <w:div w:id="1985741554">
          <w:marLeft w:val="0"/>
          <w:marRight w:val="0"/>
          <w:marTop w:val="0"/>
          <w:marBottom w:val="0"/>
          <w:divBdr>
            <w:top w:val="none" w:sz="0" w:space="0" w:color="auto"/>
            <w:left w:val="none" w:sz="0" w:space="0" w:color="auto"/>
            <w:bottom w:val="none" w:sz="0" w:space="0" w:color="auto"/>
            <w:right w:val="none" w:sz="0" w:space="0" w:color="auto"/>
          </w:divBdr>
        </w:div>
        <w:div w:id="2037075168">
          <w:marLeft w:val="0"/>
          <w:marRight w:val="0"/>
          <w:marTop w:val="0"/>
          <w:marBottom w:val="0"/>
          <w:divBdr>
            <w:top w:val="none" w:sz="0" w:space="0" w:color="auto"/>
            <w:left w:val="none" w:sz="0" w:space="0" w:color="auto"/>
            <w:bottom w:val="none" w:sz="0" w:space="0" w:color="auto"/>
            <w:right w:val="none" w:sz="0" w:space="0" w:color="auto"/>
          </w:divBdr>
        </w:div>
        <w:div w:id="148126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2001/ley_0685_2001_pr007.html" TargetMode="External"/><Relationship Id="rId18" Type="http://schemas.openxmlformats.org/officeDocument/2006/relationships/hyperlink" Target="http://www.secretariasenado.gov.co/senado/basedoc/ley/2001/ley_0685_2001.html" TargetMode="External"/><Relationship Id="rId26" Type="http://schemas.openxmlformats.org/officeDocument/2006/relationships/hyperlink" Target="http://www.secretariasenado.gov.co/senado/basedoc/ley/2001/ley_0685_2001_pr002.html" TargetMode="External"/><Relationship Id="rId39" Type="http://schemas.openxmlformats.org/officeDocument/2006/relationships/hyperlink" Target="http://www.secretariasenado.gov.co/senado/basedoc/ley/2001/ley_0685_2001_pr003.html" TargetMode="External"/><Relationship Id="rId21" Type="http://schemas.openxmlformats.org/officeDocument/2006/relationships/hyperlink" Target="http://www.secretariasenado.gov.co/senado/basedoc/ley/2001/ley_0685_2001_pr001.html" TargetMode="External"/><Relationship Id="rId34" Type="http://schemas.openxmlformats.org/officeDocument/2006/relationships/hyperlink" Target="http://www.secretariasenado.gov.co/senado/basedoc/ley/2001/ley_0685_2001_pr004.html" TargetMode="External"/><Relationship Id="rId42" Type="http://schemas.openxmlformats.org/officeDocument/2006/relationships/hyperlink" Target="http://www.secretariasenado.gov.co/senado/basedoc/ley/2001/ley_0685_2001_pr005.html" TargetMode="External"/><Relationship Id="rId47" Type="http://schemas.openxmlformats.org/officeDocument/2006/relationships/hyperlink" Target="http://www.secretariasenado.gov.co/senado/basedoc/ley/2001/ley_0685_2001_pr006.html" TargetMode="External"/><Relationship Id="rId50" Type="http://schemas.openxmlformats.org/officeDocument/2006/relationships/hyperlink" Target="http://www.secretariasenado.gov.co/senado/basedoc/ley/2001/ley_0685_2001_pr006.html" TargetMode="External"/><Relationship Id="rId55" Type="http://schemas.openxmlformats.org/officeDocument/2006/relationships/hyperlink" Target="http://www.secretariasenado.gov.co/senado/basedoc/ley/2001/ley_0685_2001.html" TargetMode="External"/><Relationship Id="rId63" Type="http://schemas.openxmlformats.org/officeDocument/2006/relationships/hyperlink" Target="http://www.secretariasenado.gov.co/senado/basedoc/ley/2001/ley_0685_2001_pr006.html" TargetMode="External"/><Relationship Id="rId68" Type="http://schemas.openxmlformats.org/officeDocument/2006/relationships/hyperlink" Target="http://www.secretariasenado.gov.co/senado/basedoc/ley/2001/ley_0685_2001_pr001.html" TargetMode="External"/><Relationship Id="rId76" Type="http://schemas.openxmlformats.org/officeDocument/2006/relationships/hyperlink" Target="http://www.secretariasenado.gov.co/senado/basedoc/ley/2001/ley_0685_2001_pr005.html" TargetMode="External"/><Relationship Id="rId7" Type="http://schemas.openxmlformats.org/officeDocument/2006/relationships/hyperlink" Target="http://www.secretariasenado.gov.co/senado/basedoc/ley/2001/ley_0685_2001.html" TargetMode="External"/><Relationship Id="rId71" Type="http://schemas.openxmlformats.org/officeDocument/2006/relationships/hyperlink" Target="http://www.secretariasenado.gov.co/senado/basedoc/ley/2001/ley_0685_2001_pr004.html" TargetMode="External"/><Relationship Id="rId2" Type="http://schemas.openxmlformats.org/officeDocument/2006/relationships/settings" Target="settings.xml"/><Relationship Id="rId16" Type="http://schemas.openxmlformats.org/officeDocument/2006/relationships/hyperlink" Target="http://www.secretariasenado.gov.co/senado/basedoc/ley/2001/ley_0685_2001.html" TargetMode="External"/><Relationship Id="rId29" Type="http://schemas.openxmlformats.org/officeDocument/2006/relationships/hyperlink" Target="http://www.secretariasenado.gov.co/senado/basedoc/ley/2001/ley_0685_2001_pr002.html" TargetMode="External"/><Relationship Id="rId11" Type="http://schemas.openxmlformats.org/officeDocument/2006/relationships/hyperlink" Target="http://www.secretariasenado.gov.co/senado/basedoc/ley/2001/ley_0685_2001_pr004.html" TargetMode="External"/><Relationship Id="rId24" Type="http://schemas.openxmlformats.org/officeDocument/2006/relationships/hyperlink" Target="http://www.secretariasenado.gov.co/senado/basedoc/ley/2001/ley_0685_2001_pr001.html" TargetMode="External"/><Relationship Id="rId32" Type="http://schemas.openxmlformats.org/officeDocument/2006/relationships/hyperlink" Target="http://www.secretariasenado.gov.co/senado/basedoc/ley/2001/ley_0685_2001_pr008.html" TargetMode="External"/><Relationship Id="rId37" Type="http://schemas.openxmlformats.org/officeDocument/2006/relationships/hyperlink" Target="http://www.secretariasenado.gov.co/senado/basedoc/ley/2001/ley_0685_2001_pr004.html" TargetMode="External"/><Relationship Id="rId40" Type="http://schemas.openxmlformats.org/officeDocument/2006/relationships/hyperlink" Target="http://www.secretariasenado.gov.co/senado/basedoc/ley/2001/ley_0685_2001_pr004.html" TargetMode="External"/><Relationship Id="rId45" Type="http://schemas.openxmlformats.org/officeDocument/2006/relationships/hyperlink" Target="http://www.secretariasenado.gov.co/senado/basedoc/ley/2001/ley_0685_2001_pr005.html" TargetMode="External"/><Relationship Id="rId53" Type="http://schemas.openxmlformats.org/officeDocument/2006/relationships/hyperlink" Target="http://www.secretariasenado.gov.co/senado/basedoc/ley/2001/ley_0685_2001_pr006.html" TargetMode="External"/><Relationship Id="rId58" Type="http://schemas.openxmlformats.org/officeDocument/2006/relationships/hyperlink" Target="http://www.secretariasenado.gov.co/senado/basedoc/ley/2001/ley_0685_2001_pr007.html" TargetMode="External"/><Relationship Id="rId66" Type="http://schemas.openxmlformats.org/officeDocument/2006/relationships/hyperlink" Target="http://www.secretariasenado.gov.co/senado/basedoc/ley/2001/ley_0685_2001_pr006.html" TargetMode="External"/><Relationship Id="rId74" Type="http://schemas.openxmlformats.org/officeDocument/2006/relationships/hyperlink" Target="http://www.secretariasenado.gov.co/senado/basedoc/ley/2001/ley_0685_2001_pr005.html" TargetMode="External"/><Relationship Id="rId79" Type="http://schemas.openxmlformats.org/officeDocument/2006/relationships/hyperlink" Target="http://www.secretariasenado.gov.co/senado/basedoc/ley/2001/ley_0685_2001_pr007.html" TargetMode="External"/><Relationship Id="rId5" Type="http://schemas.openxmlformats.org/officeDocument/2006/relationships/control" Target="activeX/activeX1.xml"/><Relationship Id="rId61" Type="http://schemas.openxmlformats.org/officeDocument/2006/relationships/hyperlink" Target="http://www.secretariasenado.gov.co/senado/basedoc/ley/2001/ley_0685_2001_pr008.html" TargetMode="External"/><Relationship Id="rId82" Type="http://schemas.openxmlformats.org/officeDocument/2006/relationships/theme" Target="theme/theme1.xml"/><Relationship Id="rId10" Type="http://schemas.openxmlformats.org/officeDocument/2006/relationships/hyperlink" Target="http://www.secretariasenado.gov.co/senado/basedoc/ley/2001/ley_0685_2001_pr003.html" TargetMode="External"/><Relationship Id="rId19" Type="http://schemas.openxmlformats.org/officeDocument/2006/relationships/hyperlink" Target="http://www.secretariasenado.gov.co/senado/basedoc/ley/2001/ley_0685_2001_pr001.html" TargetMode="External"/><Relationship Id="rId31" Type="http://schemas.openxmlformats.org/officeDocument/2006/relationships/hyperlink" Target="http://www.secretariasenado.gov.co/senado/basedoc/ley/2001/ley_0685_2001_pr002.html" TargetMode="External"/><Relationship Id="rId44" Type="http://schemas.openxmlformats.org/officeDocument/2006/relationships/hyperlink" Target="http://www.secretariasenado.gov.co/senado/basedoc/ley/2001/ley_0685_2001_pr005.html" TargetMode="External"/><Relationship Id="rId52" Type="http://schemas.openxmlformats.org/officeDocument/2006/relationships/hyperlink" Target="http://www.secretariasenado.gov.co/senado/basedoc/ley/2001/ley_0685_2001_pr006.html" TargetMode="External"/><Relationship Id="rId60" Type="http://schemas.openxmlformats.org/officeDocument/2006/relationships/hyperlink" Target="http://www.secretariasenado.gov.co/senado/basedoc/ley/2001/ley_0685_2001.html" TargetMode="External"/><Relationship Id="rId65" Type="http://schemas.openxmlformats.org/officeDocument/2006/relationships/hyperlink" Target="http://www.secretariasenado.gov.co/senado/basedoc/ley/2001/ley_0685_2001_pr006.html" TargetMode="External"/><Relationship Id="rId73" Type="http://schemas.openxmlformats.org/officeDocument/2006/relationships/hyperlink" Target="http://www.secretariasenado.gov.co/senado/basedoc/ley/2001/ley_0685_2001_pr005.html" TargetMode="External"/><Relationship Id="rId78" Type="http://schemas.openxmlformats.org/officeDocument/2006/relationships/hyperlink" Target="http://www.secretariasenado.gov.co/senado/basedoc/ley/2001/ley_0685_2001_pr007.html" TargetMode="External"/><Relationship Id="rId8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secretariasenado.gov.co/senado/basedoc/ley/2001/ley_0685_2001_pr006.html" TargetMode="External"/><Relationship Id="rId14" Type="http://schemas.openxmlformats.org/officeDocument/2006/relationships/hyperlink" Target="http://www.secretariasenado.gov.co/senado/basedoc/ley/2001/ley_0685_2001_pr007.html" TargetMode="External"/><Relationship Id="rId22" Type="http://schemas.openxmlformats.org/officeDocument/2006/relationships/hyperlink" Target="http://www.secretariasenado.gov.co/senado/basedoc/ley/2001/ley_0685_2001_pr002.html" TargetMode="External"/><Relationship Id="rId27" Type="http://schemas.openxmlformats.org/officeDocument/2006/relationships/hyperlink" Target="http://www.secretariasenado.gov.co/senado/basedoc/ley/2001/ley_0685_2001_pr002.html" TargetMode="External"/><Relationship Id="rId30" Type="http://schemas.openxmlformats.org/officeDocument/2006/relationships/hyperlink" Target="http://www.secretariasenado.gov.co/senado/basedoc/ley/2001/ley_0685_2001_pr002.html" TargetMode="External"/><Relationship Id="rId35" Type="http://schemas.openxmlformats.org/officeDocument/2006/relationships/hyperlink" Target="http://www.secretariasenado.gov.co/senado/basedoc/ley/2001/ley_0685_2001.html" TargetMode="External"/><Relationship Id="rId43" Type="http://schemas.openxmlformats.org/officeDocument/2006/relationships/hyperlink" Target="http://www.secretariasenado.gov.co/senado/basedoc/ley/2001/ley_0685_2001_pr005.html" TargetMode="External"/><Relationship Id="rId48" Type="http://schemas.openxmlformats.org/officeDocument/2006/relationships/hyperlink" Target="http://www.secretariasenado.gov.co/senado/basedoc/ley/2001/ley_0685_2001_pr006.html" TargetMode="External"/><Relationship Id="rId56" Type="http://schemas.openxmlformats.org/officeDocument/2006/relationships/hyperlink" Target="http://www.secretariasenado.gov.co/senado/basedoc/ley/2001/ley_0685_2001.html" TargetMode="External"/><Relationship Id="rId64" Type="http://schemas.openxmlformats.org/officeDocument/2006/relationships/hyperlink" Target="http://www.secretariasenado.gov.co/senado/basedoc/ley/2001/ley_0685_2001_pr006.html" TargetMode="External"/><Relationship Id="rId69" Type="http://schemas.openxmlformats.org/officeDocument/2006/relationships/hyperlink" Target="http://www.secretariasenado.gov.co/senado/basedoc/ley/2001/ley_0685_2001_pr006.html" TargetMode="External"/><Relationship Id="rId77" Type="http://schemas.openxmlformats.org/officeDocument/2006/relationships/hyperlink" Target="http://www.secretariasenado.gov.co/senado/basedoc/ley/2001/ley_0685_2001_pr006.html" TargetMode="External"/><Relationship Id="rId8" Type="http://schemas.openxmlformats.org/officeDocument/2006/relationships/hyperlink" Target="http://www.secretariasenado.gov.co/senado/basedoc/ley/2001/ley_0685_2001.html" TargetMode="External"/><Relationship Id="rId51" Type="http://schemas.openxmlformats.org/officeDocument/2006/relationships/hyperlink" Target="http://www.secretariasenado.gov.co/senado/basedoc/ley/2001/ley_0685_2001.html" TargetMode="External"/><Relationship Id="rId72" Type="http://schemas.openxmlformats.org/officeDocument/2006/relationships/hyperlink" Target="http://www.secretariasenado.gov.co/senado/basedoc/ley/2001/ley_0685_2001_pr004.html" TargetMode="External"/><Relationship Id="rId80" Type="http://schemas.openxmlformats.org/officeDocument/2006/relationships/hyperlink" Target="http://www.secretariasenado.gov.co/senado/basedoc/ley/2001/ley_0685_2001_pr007.html" TargetMode="External"/><Relationship Id="rId3" Type="http://schemas.openxmlformats.org/officeDocument/2006/relationships/webSettings" Target="webSettings.xml"/><Relationship Id="rId12" Type="http://schemas.openxmlformats.org/officeDocument/2006/relationships/hyperlink" Target="http://www.secretariasenado.gov.co/senado/basedoc/ley/2001/ley_0685_2001_pr007.html" TargetMode="External"/><Relationship Id="rId17" Type="http://schemas.openxmlformats.org/officeDocument/2006/relationships/hyperlink" Target="http://www.secretariasenado.gov.co/senado/basedoc/ley/2001/ley_0685_2001.html" TargetMode="External"/><Relationship Id="rId25" Type="http://schemas.openxmlformats.org/officeDocument/2006/relationships/hyperlink" Target="http://www.secretariasenado.gov.co/senado/basedoc/ley/2001/ley_0685_2001_pr002.html" TargetMode="External"/><Relationship Id="rId33" Type="http://schemas.openxmlformats.org/officeDocument/2006/relationships/hyperlink" Target="http://www.secretariasenado.gov.co/senado/basedoc/ley/2001/ley_0685_2001.html" TargetMode="External"/><Relationship Id="rId38" Type="http://schemas.openxmlformats.org/officeDocument/2006/relationships/hyperlink" Target="http://www.secretariasenado.gov.co/senado/basedoc/ley/2001/ley_0685_2001_pr007.html" TargetMode="External"/><Relationship Id="rId46" Type="http://schemas.openxmlformats.org/officeDocument/2006/relationships/hyperlink" Target="http://www.secretariasenado.gov.co/senado/basedoc/ley/2001/ley_0685_2001_pr006.html" TargetMode="External"/><Relationship Id="rId59" Type="http://schemas.openxmlformats.org/officeDocument/2006/relationships/hyperlink" Target="http://www.secretariasenado.gov.co/senado/basedoc/ley/2001/ley_0685_2001_pr008.html" TargetMode="External"/><Relationship Id="rId67" Type="http://schemas.openxmlformats.org/officeDocument/2006/relationships/hyperlink" Target="http://www.secretariasenado.gov.co/senado/basedoc/ley/2001/ley_0685_2001_pr008.html" TargetMode="External"/><Relationship Id="rId20" Type="http://schemas.openxmlformats.org/officeDocument/2006/relationships/hyperlink" Target="http://www.secretariasenado.gov.co/senado/basedoc/ley/2001/ley_0685_2001_pr001.html" TargetMode="External"/><Relationship Id="rId41" Type="http://schemas.openxmlformats.org/officeDocument/2006/relationships/hyperlink" Target="http://www.secretariasenado.gov.co/senado/basedoc/ley/2001/ley_0685_2001_pr005.html" TargetMode="External"/><Relationship Id="rId54" Type="http://schemas.openxmlformats.org/officeDocument/2006/relationships/hyperlink" Target="http://www.secretariasenado.gov.co/senado/basedoc/ley/2001/ley_0685_2001_pr006.html" TargetMode="External"/><Relationship Id="rId62" Type="http://schemas.openxmlformats.org/officeDocument/2006/relationships/hyperlink" Target="http://www.secretariasenado.gov.co/senado/basedoc/ley/2001/ley_0685_2001_pr006.html" TargetMode="External"/><Relationship Id="rId70" Type="http://schemas.openxmlformats.org/officeDocument/2006/relationships/hyperlink" Target="http://www.secretariasenado.gov.co/senado/basedoc/cp/constitucion_politica_1991_pr010.html" TargetMode="External"/><Relationship Id="rId75" Type="http://schemas.openxmlformats.org/officeDocument/2006/relationships/hyperlink" Target="http://www.secretariasenado.gov.co/senado/basedoc/ley/2001/ley_0685_2001_pr005.html" TargetMode="External"/><Relationship Id="rId1" Type="http://schemas.openxmlformats.org/officeDocument/2006/relationships/styles" Target="styles.xml"/><Relationship Id="rId6" Type="http://schemas.openxmlformats.org/officeDocument/2006/relationships/hyperlink" Target="http://www.secretariasenado.gov.co/senado/basedoc/ley/2001/ley_0685_2001.html" TargetMode="External"/><Relationship Id="rId15" Type="http://schemas.openxmlformats.org/officeDocument/2006/relationships/hyperlink" Target="http://www.secretariasenado.gov.co/senado/basedoc/ley/2001/ley_0685_2001.html" TargetMode="External"/><Relationship Id="rId23" Type="http://schemas.openxmlformats.org/officeDocument/2006/relationships/hyperlink" Target="http://www.secretariasenado.gov.co/senado/basedoc/ley/2001/ley_0685_2001_pr002.html" TargetMode="External"/><Relationship Id="rId28" Type="http://schemas.openxmlformats.org/officeDocument/2006/relationships/hyperlink" Target="http://www.secretariasenado.gov.co/senado/basedoc/ley/2001/ley_0685_2001_pr002.html" TargetMode="External"/><Relationship Id="rId36" Type="http://schemas.openxmlformats.org/officeDocument/2006/relationships/hyperlink" Target="http://www.secretariasenado.gov.co/senado/basedoc/ley/2001/ley_0685_2001_pr005.html" TargetMode="External"/><Relationship Id="rId49" Type="http://schemas.openxmlformats.org/officeDocument/2006/relationships/hyperlink" Target="http://www.secretariasenado.gov.co/senado/basedoc/ley/2001/ley_0685_2001_pr006.html" TargetMode="External"/><Relationship Id="rId57" Type="http://schemas.openxmlformats.org/officeDocument/2006/relationships/hyperlink" Target="http://www.secretariasenado.gov.co/senado/basedoc/ley/2001/ley_0685_2001.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7162</Words>
  <Characters>39397</Characters>
  <Application>Microsoft Office Word</Application>
  <DocSecurity>0</DocSecurity>
  <Lines>328</Lines>
  <Paragraphs>92</Paragraphs>
  <ScaleCrop>false</ScaleCrop>
  <Company/>
  <LinksUpToDate>false</LinksUpToDate>
  <CharactersWithSpaces>46467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2010-07-29T20:06:00Z</dcterms:created>
  <dcterms:modified xsi:type="dcterms:W3CDTF">2010-09-18T23:41:00Z</dcterms:modified>
</cp:coreProperties>
</file>