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42" w:rsidRDefault="005F4B42" w:rsidP="005F4B42">
      <w:pPr>
        <w:pStyle w:val="NormalWeb"/>
        <w:jc w:val="center"/>
        <w:rPr>
          <w:rFonts w:ascii="Arial" w:hAnsi="Arial" w:cs="Arial"/>
          <w:b/>
          <w:bCs/>
        </w:rPr>
      </w:pPr>
      <w:r>
        <w:rPr>
          <w:rFonts w:ascii="Arial" w:hAnsi="Arial" w:cs="Arial"/>
          <w:b/>
          <w:bCs/>
        </w:rPr>
        <w:t>PROYECTO DE ACTO LEGISLATIVO 01 DE 2005</w:t>
      </w:r>
    </w:p>
    <w:p w:rsidR="005F4B42" w:rsidRDefault="005F4B42" w:rsidP="005F4B42">
      <w:pPr>
        <w:pStyle w:val="NormalWeb"/>
        <w:jc w:val="center"/>
        <w:rPr>
          <w:rFonts w:ascii="Arial" w:hAnsi="Arial" w:cs="Arial"/>
          <w:b/>
          <w:bCs/>
        </w:rPr>
      </w:pPr>
      <w:r>
        <w:rPr>
          <w:rFonts w:ascii="Arial" w:hAnsi="Arial" w:cs="Arial"/>
          <w:b/>
          <w:bCs/>
        </w:rPr>
        <w:t>(julio 22)</w:t>
      </w:r>
    </w:p>
    <w:p w:rsidR="005F4B42" w:rsidRDefault="005F4B42" w:rsidP="005F4B42">
      <w:pPr>
        <w:pStyle w:val="NormalWeb"/>
        <w:jc w:val="center"/>
        <w:rPr>
          <w:rFonts w:ascii="Arial" w:hAnsi="Arial" w:cs="Arial"/>
          <w:b/>
          <w:bCs/>
        </w:rPr>
      </w:pPr>
      <w:r>
        <w:rPr>
          <w:rFonts w:ascii="Arial" w:hAnsi="Arial" w:cs="Arial"/>
          <w:b/>
          <w:bCs/>
        </w:rPr>
        <w:t>Segunda Vuelta</w:t>
      </w:r>
    </w:p>
    <w:p w:rsidR="005F4B42" w:rsidRDefault="005F4B42" w:rsidP="005F4B42">
      <w:pPr>
        <w:pStyle w:val="NormalWeb"/>
        <w:jc w:val="center"/>
        <w:rPr>
          <w:rFonts w:ascii="Arial" w:hAnsi="Arial" w:cs="Arial"/>
        </w:rPr>
      </w:pPr>
      <w:hyperlink r:id="rId4" w:anchor="0" w:history="1">
        <w:r>
          <w:rPr>
            <w:rStyle w:val="Hipervnculo"/>
            <w:rFonts w:ascii="Arial" w:hAnsi="Arial" w:cs="Arial"/>
          </w:rPr>
          <w:t>Corregido el Título por el Decreto Nacional 2576 de 2005</w:t>
        </w:r>
      </w:hyperlink>
      <w:r>
        <w:rPr>
          <w:rFonts w:ascii="Arial" w:hAnsi="Arial" w:cs="Arial"/>
        </w:rPr>
        <w:t xml:space="preserve"> </w:t>
      </w:r>
    </w:p>
    <w:p w:rsidR="005F4B42" w:rsidRDefault="005F4B42" w:rsidP="005F4B42">
      <w:pPr>
        <w:pStyle w:val="NormalWeb"/>
        <w:jc w:val="center"/>
        <w:rPr>
          <w:rFonts w:ascii="Arial" w:hAnsi="Arial" w:cs="Arial"/>
          <w:b/>
          <w:bCs/>
        </w:rPr>
      </w:pPr>
      <w:r>
        <w:rPr>
          <w:rFonts w:ascii="Arial" w:hAnsi="Arial" w:cs="Arial"/>
          <w:b/>
          <w:bCs/>
        </w:rPr>
        <w:t>por el cual se adiciona el artículo 48 de la Constitución Política.</w:t>
      </w:r>
    </w:p>
    <w:p w:rsidR="005F4B42" w:rsidRDefault="005F4B42" w:rsidP="005F4B42">
      <w:pPr>
        <w:pStyle w:val="NormalWeb"/>
        <w:jc w:val="center"/>
        <w:rPr>
          <w:rFonts w:ascii="Arial" w:hAnsi="Arial" w:cs="Arial"/>
          <w:b/>
          <w:bCs/>
        </w:rPr>
      </w:pPr>
      <w:r>
        <w:rPr>
          <w:rFonts w:ascii="Arial" w:hAnsi="Arial" w:cs="Arial"/>
          <w:b/>
          <w:bCs/>
        </w:rPr>
        <w:t>El Congreso de Colombia</w:t>
      </w:r>
    </w:p>
    <w:p w:rsidR="005F4B42" w:rsidRDefault="005F4B42" w:rsidP="005F4B42">
      <w:pPr>
        <w:pStyle w:val="NormalWeb"/>
        <w:jc w:val="center"/>
        <w:rPr>
          <w:rFonts w:ascii="Arial" w:hAnsi="Arial" w:cs="Arial"/>
          <w:b/>
          <w:bCs/>
        </w:rPr>
      </w:pPr>
      <w:r>
        <w:rPr>
          <w:rFonts w:ascii="Arial" w:hAnsi="Arial" w:cs="Arial"/>
          <w:b/>
          <w:bCs/>
        </w:rPr>
        <w:t>DECRETA:</w:t>
      </w:r>
    </w:p>
    <w:p w:rsidR="005F4B42" w:rsidRDefault="005F4B42" w:rsidP="005F4B42">
      <w:pPr>
        <w:pStyle w:val="NormalWeb"/>
        <w:rPr>
          <w:rFonts w:ascii="Arial" w:hAnsi="Arial" w:cs="Arial"/>
        </w:rPr>
      </w:pPr>
      <w:r>
        <w:rPr>
          <w:rFonts w:ascii="Arial" w:hAnsi="Arial" w:cs="Arial"/>
          <w:b/>
          <w:bCs/>
        </w:rPr>
        <w:t>Artículo 1°.</w:t>
      </w:r>
      <w:r>
        <w:rPr>
          <w:rFonts w:ascii="Arial" w:hAnsi="Arial" w:cs="Arial"/>
        </w:rPr>
        <w:t xml:space="preserve"> Se adicionan los siguientes incisos y parágrafos al artículo </w:t>
      </w:r>
      <w:hyperlink r:id="rId5" w:anchor="48" w:history="1">
        <w:r>
          <w:rPr>
            <w:rStyle w:val="Hipervnculo"/>
            <w:rFonts w:ascii="Arial" w:hAnsi="Arial" w:cs="Arial"/>
          </w:rPr>
          <w:t>48</w:t>
        </w:r>
      </w:hyperlink>
      <w:r>
        <w:rPr>
          <w:rFonts w:ascii="Arial" w:hAnsi="Arial" w:cs="Arial"/>
        </w:rPr>
        <w:t xml:space="preserve"> de la Constitución Política:</w:t>
      </w:r>
    </w:p>
    <w:p w:rsidR="005F4B42" w:rsidRDefault="005F4B42" w:rsidP="005F4B42">
      <w:pPr>
        <w:pStyle w:val="NormalWeb"/>
        <w:rPr>
          <w:rFonts w:ascii="Arial" w:hAnsi="Arial" w:cs="Arial"/>
        </w:rPr>
      </w:pPr>
      <w:r>
        <w:rPr>
          <w:rFonts w:ascii="Arial" w:hAnsi="Arial" w:cs="Arial"/>
        </w:rPr>
        <w:t>"El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w:t>
      </w:r>
    </w:p>
    <w:p w:rsidR="005F4B42" w:rsidRDefault="005F4B42" w:rsidP="005F4B42">
      <w:pPr>
        <w:pStyle w:val="NormalWeb"/>
        <w:rPr>
          <w:rFonts w:ascii="Arial" w:hAnsi="Arial" w:cs="Arial"/>
        </w:rPr>
      </w:pPr>
      <w:r>
        <w:rPr>
          <w:rFonts w:ascii="Arial" w:hAnsi="Arial" w:cs="Arial"/>
        </w:rPr>
        <w:t>"Sin perjuicio de los descuentos, deducciones y embargos a pensiones ordenados de acuerdo con la ley, por ningún motivo podrá dejarse de pagar, congelarse o reducirse el valor de la mesada de las pensiones reconocidas conforme a derecho".</w:t>
      </w:r>
    </w:p>
    <w:p w:rsidR="005F4B42" w:rsidRDefault="005F4B42" w:rsidP="005F4B42">
      <w:pPr>
        <w:pStyle w:val="NormalWeb"/>
        <w:rPr>
          <w:rFonts w:ascii="Arial" w:hAnsi="Arial" w:cs="Arial"/>
        </w:rPr>
      </w:pPr>
      <w:r>
        <w:rPr>
          <w:rFonts w:ascii="Arial" w:hAnsi="Arial" w:cs="Arial"/>
        </w:rPr>
        <w:t>"Para adquirir el derecho a la pensión será necesario cumplir con la edad, el tiempo de servicio, las semanas de cotización o el capital necesario, así como las demás condiciones que señala la ley, sin perjuicio de lo dispuesto para las pensiones de invalidez y sobrevivencia. Los requisitos y beneficios para adquirir el derecho a una pensión de invalidez o de sobrevivencia serán los establecidos por las leyes del Sistema General de Pensiones".</w:t>
      </w:r>
    </w:p>
    <w:p w:rsidR="005F4B42" w:rsidRDefault="005F4B42" w:rsidP="005F4B42">
      <w:pPr>
        <w:pStyle w:val="NormalWeb"/>
        <w:rPr>
          <w:rFonts w:ascii="Arial" w:hAnsi="Arial" w:cs="Arial"/>
        </w:rPr>
      </w:pPr>
      <w:r>
        <w:rPr>
          <w:rFonts w:ascii="Arial" w:hAnsi="Arial" w:cs="Arial"/>
        </w:rPr>
        <w:t>"En materia pensional se respetarán todos los derechos adquiridos".</w:t>
      </w:r>
    </w:p>
    <w:p w:rsidR="005F4B42" w:rsidRDefault="005F4B42" w:rsidP="005F4B42">
      <w:pPr>
        <w:pStyle w:val="NormalWeb"/>
        <w:rPr>
          <w:rFonts w:ascii="Arial" w:hAnsi="Arial" w:cs="Arial"/>
        </w:rPr>
      </w:pPr>
      <w:r>
        <w:rPr>
          <w:rFonts w:ascii="Arial" w:hAnsi="Arial" w:cs="Arial"/>
        </w:rPr>
        <w:t>"Los requisitos y beneficios pensionales para todas las personas, incluidos los de pensión de vejez por actividades de alto riesgo, serán los establecidos en las leyes del Sistema General de Pensiones. No podrá dictarse disposición o invocarse acuerdo alguno para apartarse de lo allí establecido".</w:t>
      </w:r>
    </w:p>
    <w:p w:rsidR="005F4B42" w:rsidRDefault="005F4B42" w:rsidP="005F4B42">
      <w:pPr>
        <w:pStyle w:val="NormalWeb"/>
        <w:rPr>
          <w:rFonts w:ascii="Arial" w:hAnsi="Arial" w:cs="Arial"/>
        </w:rPr>
      </w:pPr>
      <w:r>
        <w:rPr>
          <w:rFonts w:ascii="Arial" w:hAnsi="Arial" w:cs="Arial"/>
        </w:rPr>
        <w:t>"Para la liquidación de las pensiones sólo se tendrán en cuenta los factores sobre los cuales cada persona hubiere efectuado las cotizaciones. Ninguna pensión podrá ser inferior al salario mínimo legal mensual vigente. Sin embargo, la ley podrá determinar los casos en que se puedan conceder beneficios económicos periódicos inferiores al salario mínimo, a personas de escasos recursos que no cumplan con las condiciones requeridas para tener derecho a una pensión".</w:t>
      </w:r>
    </w:p>
    <w:p w:rsidR="005F4B42" w:rsidRDefault="005F4B42" w:rsidP="005F4B42">
      <w:pPr>
        <w:pStyle w:val="NormalWeb"/>
        <w:rPr>
          <w:rFonts w:ascii="Arial" w:hAnsi="Arial" w:cs="Arial"/>
        </w:rPr>
      </w:pPr>
      <w:r>
        <w:rPr>
          <w:rFonts w:ascii="Arial" w:hAnsi="Arial" w:cs="Arial"/>
        </w:rPr>
        <w:lastRenderedPageBreak/>
        <w:t>"A partir de la vigencia del presente Acto Legislativo, no habrá regímenes especiales ni exceptuados, sin perjuicio del aplicable a la fuerza pública, al Presidente de la República y a lo establecido en los parágrafos del presente artículo".</w:t>
      </w:r>
    </w:p>
    <w:p w:rsidR="005F4B42" w:rsidRDefault="005F4B42" w:rsidP="005F4B42">
      <w:pPr>
        <w:pStyle w:val="NormalWeb"/>
        <w:rPr>
          <w:rFonts w:ascii="Arial" w:hAnsi="Arial" w:cs="Arial"/>
        </w:rPr>
      </w:pPr>
      <w:r>
        <w:rPr>
          <w:rFonts w:ascii="Arial" w:hAnsi="Arial" w:cs="Arial"/>
        </w:rPr>
        <w:t>"Las personas cuyo derecho a la pensión se cause a partir de la vigencia del presente Acto Legislativo no podrán recibir más de trece (13) mesadas pensionales al año. Se entiende que la pensión se causa cuando se cumplen todos los requisitos para acceder a ella, aún cuando no se hubiese efectuado el reconocimiento".</w:t>
      </w:r>
    </w:p>
    <w:p w:rsidR="005F4B42" w:rsidRDefault="005F4B42" w:rsidP="005F4B42">
      <w:pPr>
        <w:pStyle w:val="NormalWeb"/>
        <w:rPr>
          <w:rFonts w:ascii="Arial" w:hAnsi="Arial" w:cs="Arial"/>
        </w:rPr>
      </w:pPr>
      <w:r>
        <w:rPr>
          <w:rFonts w:ascii="Arial" w:hAnsi="Arial" w:cs="Arial"/>
        </w:rPr>
        <w:t>"La ley establecerá un procedimiento breve para la revisión de las pensiones reconocidas con abuso del derecho o sin el cumplimiento de los requisitos establecidos en la ley o en las convenciones y laudos arbitrales válidamente celebrados".</w:t>
      </w:r>
    </w:p>
    <w:p w:rsidR="005F4B42" w:rsidRDefault="005F4B42" w:rsidP="005F4B42">
      <w:pPr>
        <w:pStyle w:val="NormalWeb"/>
        <w:rPr>
          <w:rFonts w:ascii="Arial" w:hAnsi="Arial" w:cs="Arial"/>
        </w:rPr>
      </w:pPr>
      <w:r>
        <w:rPr>
          <w:rFonts w:ascii="Arial" w:hAnsi="Arial" w:cs="Arial"/>
        </w:rPr>
        <w:t>"</w:t>
      </w:r>
      <w:r>
        <w:rPr>
          <w:rFonts w:ascii="Arial" w:hAnsi="Arial" w:cs="Arial"/>
          <w:b/>
          <w:bCs/>
        </w:rPr>
        <w:t>Parágrafo 1º.</w:t>
      </w:r>
      <w:r>
        <w:rPr>
          <w:rFonts w:ascii="Arial" w:hAnsi="Arial" w:cs="Arial"/>
        </w:rPr>
        <w:t xml:space="preserve"> A partir del 31 de julio de 2010, no podrán causarse pensiones superiores a veinticinco (25) salarios mínimos legales mensuales vigentes, con cargo a recursos de naturaleza pública".</w:t>
      </w:r>
    </w:p>
    <w:p w:rsidR="005F4B42" w:rsidRDefault="005F4B42" w:rsidP="005F4B42">
      <w:pPr>
        <w:pStyle w:val="NormalWeb"/>
        <w:rPr>
          <w:rFonts w:ascii="Arial" w:hAnsi="Arial" w:cs="Arial"/>
        </w:rPr>
      </w:pPr>
      <w:r>
        <w:rPr>
          <w:rFonts w:ascii="Arial" w:hAnsi="Arial" w:cs="Arial"/>
        </w:rPr>
        <w:t>"</w:t>
      </w:r>
      <w:r>
        <w:rPr>
          <w:rFonts w:ascii="Arial" w:hAnsi="Arial" w:cs="Arial"/>
          <w:b/>
          <w:bCs/>
        </w:rPr>
        <w:t>Parágrafo 2º.</w:t>
      </w:r>
      <w:r>
        <w:rPr>
          <w:rFonts w:ascii="Arial" w:hAnsi="Arial" w:cs="Arial"/>
        </w:rPr>
        <w:t xml:space="preserve"> A partir de la vigencia del presente Acto Legislativo no podrán establecerse en pactos, convenciones colectivas de trabajo, laudos o acto jurídico alguno, condiciones pensionales diferentes a las establecidas en las leyes del Sistema General de Pensiones".</w:t>
      </w:r>
    </w:p>
    <w:p w:rsidR="005F4B42" w:rsidRDefault="005F4B42" w:rsidP="005F4B42">
      <w:pPr>
        <w:pStyle w:val="NormalWeb"/>
        <w:rPr>
          <w:rFonts w:ascii="Arial" w:hAnsi="Arial" w:cs="Arial"/>
        </w:rPr>
      </w:pPr>
      <w:r>
        <w:rPr>
          <w:rFonts w:ascii="Arial" w:hAnsi="Arial" w:cs="Arial"/>
        </w:rPr>
        <w:t>"</w:t>
      </w:r>
      <w:r>
        <w:rPr>
          <w:rFonts w:ascii="Arial" w:hAnsi="Arial" w:cs="Arial"/>
          <w:b/>
          <w:bCs/>
        </w:rPr>
        <w:t>Parágrafo transitorio </w:t>
      </w:r>
      <w:bookmarkStart w:id="0" w:name="1"/>
      <w:r>
        <w:rPr>
          <w:rFonts w:ascii="Arial" w:hAnsi="Arial" w:cs="Arial"/>
          <w:b/>
          <w:bCs/>
        </w:rPr>
        <w:t> </w:t>
      </w:r>
      <w:bookmarkEnd w:id="0"/>
      <w:r>
        <w:rPr>
          <w:rFonts w:ascii="Arial" w:hAnsi="Arial" w:cs="Arial"/>
          <w:b/>
          <w:bCs/>
        </w:rPr>
        <w:t>1º.</w:t>
      </w:r>
      <w:r>
        <w:rPr>
          <w:rFonts w:ascii="Arial" w:hAnsi="Arial" w:cs="Arial"/>
        </w:rPr>
        <w:t xml:space="preserve"> El régimen pensional de los docentes nacionales, nacionalizados y territoriales, vinculados al servicio público educativo oficial es el establecido para el Magisterio en las disposiciones legales vigentes con anterioridad a la entrada en vigencia de la Ley 812 de 2003, y lo preceptuado en el artículo 81 de esta. Los docentes que se hayan vinculado o se vinculen a partir de la vigencia de la citada ley, tendrán los derechos de prima media establecidos en las leyes del Sistema General de Pensiones, en los términos del artículo </w:t>
      </w:r>
      <w:hyperlink r:id="rId6" w:anchor="81" w:history="1">
        <w:r>
          <w:rPr>
            <w:rStyle w:val="Hipervnculo"/>
            <w:rFonts w:ascii="Arial" w:hAnsi="Arial" w:cs="Arial"/>
          </w:rPr>
          <w:t>81</w:t>
        </w:r>
      </w:hyperlink>
      <w:r>
        <w:rPr>
          <w:rFonts w:ascii="Arial" w:hAnsi="Arial" w:cs="Arial"/>
        </w:rPr>
        <w:t xml:space="preserve"> de la Ley 812 de 2003".</w:t>
      </w:r>
    </w:p>
    <w:p w:rsidR="005F4B42" w:rsidRDefault="005F4B42" w:rsidP="005F4B42">
      <w:pPr>
        <w:pStyle w:val="NormalWeb"/>
        <w:rPr>
          <w:rFonts w:ascii="Arial" w:hAnsi="Arial" w:cs="Arial"/>
        </w:rPr>
      </w:pPr>
      <w:r>
        <w:rPr>
          <w:rFonts w:ascii="Arial" w:hAnsi="Arial" w:cs="Arial"/>
        </w:rPr>
        <w:t>"</w:t>
      </w:r>
      <w:r>
        <w:rPr>
          <w:rFonts w:ascii="Arial" w:hAnsi="Arial" w:cs="Arial"/>
          <w:b/>
          <w:bCs/>
        </w:rPr>
        <w:t>Parágrafo transitorio 2º.</w:t>
      </w:r>
      <w:r>
        <w:rPr>
          <w:rFonts w:ascii="Arial" w:hAnsi="Arial" w:cs="Arial"/>
        </w:rPr>
        <w:t xml:space="preserve">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 expirará el 31 de julio del año 2010".</w:t>
      </w:r>
    </w:p>
    <w:p w:rsidR="005F4B42" w:rsidRDefault="005F4B42" w:rsidP="005F4B42">
      <w:pPr>
        <w:pStyle w:val="NormalWeb"/>
        <w:rPr>
          <w:rFonts w:ascii="Arial" w:hAnsi="Arial" w:cs="Arial"/>
        </w:rPr>
      </w:pPr>
      <w:r>
        <w:rPr>
          <w:rFonts w:ascii="Arial" w:hAnsi="Arial" w:cs="Arial"/>
        </w:rPr>
        <w:t>"</w:t>
      </w:r>
      <w:r>
        <w:rPr>
          <w:rFonts w:ascii="Arial" w:hAnsi="Arial" w:cs="Arial"/>
          <w:b/>
          <w:bCs/>
        </w:rPr>
        <w:t>Parágrafo transitorio 3º.</w:t>
      </w:r>
      <w:r>
        <w:rPr>
          <w:rFonts w:ascii="Arial" w:hAnsi="Arial" w:cs="Arial"/>
        </w:rPr>
        <w:t xml:space="preserve"> Las reglas de carácter pensional que rigen a la fecha de vigencia de este Acto Legislativo contenidas en pactos, convenciones colectivas de trabajo, laudos o acuerdos válidamente celebrados, se mantendrán por el término inicialmente estipulado. En los pactos, convenciones o laudos que se suscriban entre la vigencia de este Acto Legislativo y el 31 de julio de 2010, no podrán estipularse condiciones pensionales más favorables que las que se encuentren actualmente vigentes. En todo caso perderán vigencia el 31 de julio de 2010".</w:t>
      </w:r>
    </w:p>
    <w:p w:rsidR="005F4B42" w:rsidRDefault="005F4B42" w:rsidP="005F4B42">
      <w:pPr>
        <w:pStyle w:val="NormalWeb"/>
        <w:rPr>
          <w:rFonts w:ascii="Arial" w:hAnsi="Arial" w:cs="Arial"/>
        </w:rPr>
      </w:pPr>
      <w:r>
        <w:rPr>
          <w:rFonts w:ascii="Arial" w:hAnsi="Arial" w:cs="Arial"/>
        </w:rPr>
        <w:lastRenderedPageBreak/>
        <w:t>"</w:t>
      </w:r>
      <w:r>
        <w:rPr>
          <w:rFonts w:ascii="Arial" w:hAnsi="Arial" w:cs="Arial"/>
          <w:b/>
          <w:bCs/>
        </w:rPr>
        <w:t>Parágrafo transitorio </w:t>
      </w:r>
      <w:bookmarkStart w:id="1" w:name="4"/>
      <w:r>
        <w:rPr>
          <w:rFonts w:ascii="Arial" w:hAnsi="Arial" w:cs="Arial"/>
          <w:b/>
          <w:bCs/>
        </w:rPr>
        <w:t> </w:t>
      </w:r>
      <w:bookmarkEnd w:id="1"/>
      <w:r>
        <w:rPr>
          <w:rFonts w:ascii="Arial" w:hAnsi="Arial" w:cs="Arial"/>
          <w:b/>
          <w:bCs/>
        </w:rPr>
        <w:t>4º.</w:t>
      </w:r>
      <w:r>
        <w:rPr>
          <w:rFonts w:ascii="Arial" w:hAnsi="Arial" w:cs="Arial"/>
        </w:rPr>
        <w:t xml:space="preserve">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w:t>
      </w:r>
    </w:p>
    <w:p w:rsidR="005F4B42" w:rsidRDefault="005F4B42" w:rsidP="005F4B42">
      <w:pPr>
        <w:pStyle w:val="NormalWeb"/>
        <w:rPr>
          <w:rFonts w:ascii="Arial" w:hAnsi="Arial" w:cs="Arial"/>
        </w:rPr>
      </w:pPr>
      <w:r>
        <w:rPr>
          <w:rFonts w:ascii="Arial" w:hAnsi="Arial" w:cs="Arial"/>
        </w:rPr>
        <w:t xml:space="preserve">"Los requisitos y beneficios pensionales para las personas cobijadas por este régimen serán los exigidos por el artículo </w:t>
      </w:r>
      <w:hyperlink r:id="rId7" w:anchor="36" w:history="1">
        <w:r>
          <w:rPr>
            <w:rStyle w:val="Hipervnculo"/>
            <w:rFonts w:ascii="Arial" w:hAnsi="Arial" w:cs="Arial"/>
          </w:rPr>
          <w:t>36</w:t>
        </w:r>
      </w:hyperlink>
      <w:r>
        <w:rPr>
          <w:rFonts w:ascii="Arial" w:hAnsi="Arial" w:cs="Arial"/>
        </w:rPr>
        <w:t xml:space="preserve"> de la Ley 100 de 1993 y demás normas que desarrollen dicho régimen".</w:t>
      </w:r>
    </w:p>
    <w:p w:rsidR="005F4B42" w:rsidRDefault="005F4B42" w:rsidP="005F4B42">
      <w:pPr>
        <w:pStyle w:val="NormalWeb"/>
        <w:rPr>
          <w:rFonts w:ascii="Arial" w:hAnsi="Arial" w:cs="Arial"/>
        </w:rPr>
      </w:pPr>
      <w:r>
        <w:rPr>
          <w:rFonts w:ascii="Arial" w:hAnsi="Arial" w:cs="Arial"/>
        </w:rPr>
        <w:t>"</w:t>
      </w:r>
      <w:r>
        <w:rPr>
          <w:rFonts w:ascii="Arial" w:hAnsi="Arial" w:cs="Arial"/>
          <w:b/>
          <w:bCs/>
        </w:rPr>
        <w:t>Parágrafo transitorio 5º.</w:t>
      </w:r>
      <w:r>
        <w:rPr>
          <w:rFonts w:ascii="Arial" w:hAnsi="Arial" w:cs="Arial"/>
        </w:rPr>
        <w:t xml:space="preserve"> De conformidad con lo dispuesto por el artículo 140 de la Ley 100 de 1993 y el Decreto 2090 de 2003, a partir de la entrada en vigencia de este último decreto, a los miembros del cuerpo de custodia y vigilancia Penitenciaria y Carcelaria Nacional se les aplicará el régimen de alto riesgo contemplado en el mismo. A quienes ingresaron con anterioridad a dicha fecha se aplicará el régimen hasta ese entonces vigente para dichas personas por razón de los riesgos de su labor, este es el dispuesto para el efecto por la Ley 32 de 1986, para lo cual deben haberse cubierto las cotizaciones correspondientes".</w:t>
      </w:r>
    </w:p>
    <w:p w:rsidR="005F4B42" w:rsidRDefault="005F4B42" w:rsidP="005F4B42">
      <w:pPr>
        <w:pStyle w:val="NormalWeb"/>
        <w:rPr>
          <w:rFonts w:ascii="Arial" w:hAnsi="Arial" w:cs="Arial"/>
        </w:rPr>
      </w:pPr>
      <w:r>
        <w:rPr>
          <w:rFonts w:ascii="Arial" w:hAnsi="Arial" w:cs="Arial"/>
        </w:rPr>
        <w:t>"</w:t>
      </w:r>
      <w:r>
        <w:rPr>
          <w:rFonts w:ascii="Arial" w:hAnsi="Arial" w:cs="Arial"/>
          <w:b/>
          <w:bCs/>
        </w:rPr>
        <w:t>Parágrafo transitorio 6º.</w:t>
      </w:r>
      <w:r>
        <w:rPr>
          <w:rFonts w:ascii="Arial" w:hAnsi="Arial" w:cs="Arial"/>
        </w:rPr>
        <w:t xml:space="preserve"> Se exceptúan de lo establecido por el inciso 8° del presente artículo, aquellas personas que perciban una pensión igual o inferior a tres (3) salarios mínimos legales mensuales vigentes, si la misma se causa antes del 31 de julio de 2011, quienes recibirán catorce (14) mesadas pensionales al año".</w:t>
      </w:r>
    </w:p>
    <w:p w:rsidR="005F4B42" w:rsidRDefault="005F4B42" w:rsidP="005F4B42">
      <w:pPr>
        <w:pStyle w:val="NormalWeb"/>
        <w:rPr>
          <w:rFonts w:ascii="Arial" w:hAnsi="Arial" w:cs="Arial"/>
        </w:rPr>
      </w:pPr>
      <w:r>
        <w:rPr>
          <w:rFonts w:ascii="Arial" w:hAnsi="Arial" w:cs="Arial"/>
          <w:b/>
          <w:bCs/>
        </w:rPr>
        <w:t>Artículo 2°.</w:t>
      </w:r>
      <w:r>
        <w:rPr>
          <w:rFonts w:ascii="Arial" w:hAnsi="Arial" w:cs="Arial"/>
        </w:rPr>
        <w:t xml:space="preserve"> El presente acto legislativo rige a partir de la fecha de su publicación.</w:t>
      </w:r>
    </w:p>
    <w:p w:rsidR="005F4B42" w:rsidRDefault="005F4B42" w:rsidP="005F4B42">
      <w:pPr>
        <w:pStyle w:val="NormalWeb"/>
        <w:jc w:val="center"/>
        <w:rPr>
          <w:rFonts w:ascii="Arial" w:hAnsi="Arial" w:cs="Arial"/>
          <w:b/>
          <w:bCs/>
        </w:rPr>
      </w:pPr>
      <w:r>
        <w:rPr>
          <w:rFonts w:ascii="Arial" w:hAnsi="Arial" w:cs="Arial"/>
          <w:b/>
          <w:bCs/>
        </w:rPr>
        <w:t>El Presidente del honorable Senado de la República,</w:t>
      </w:r>
    </w:p>
    <w:p w:rsidR="005F4B42" w:rsidRDefault="005F4B42" w:rsidP="005F4B42">
      <w:pPr>
        <w:pStyle w:val="NormalWeb"/>
        <w:jc w:val="center"/>
        <w:rPr>
          <w:rFonts w:ascii="Arial" w:hAnsi="Arial" w:cs="Arial"/>
          <w:b/>
          <w:bCs/>
        </w:rPr>
      </w:pPr>
      <w:r>
        <w:rPr>
          <w:rFonts w:ascii="Arial" w:hAnsi="Arial" w:cs="Arial"/>
          <w:b/>
          <w:bCs/>
        </w:rPr>
        <w:t>Luis Humberto Gómez Gallo.</w:t>
      </w:r>
    </w:p>
    <w:p w:rsidR="005F4B42" w:rsidRDefault="005F4B42" w:rsidP="005F4B42">
      <w:pPr>
        <w:pStyle w:val="NormalWeb"/>
        <w:jc w:val="center"/>
        <w:rPr>
          <w:rFonts w:ascii="Arial" w:hAnsi="Arial" w:cs="Arial"/>
          <w:b/>
          <w:bCs/>
        </w:rPr>
      </w:pPr>
      <w:r>
        <w:rPr>
          <w:rFonts w:ascii="Arial" w:hAnsi="Arial" w:cs="Arial"/>
          <w:b/>
          <w:bCs/>
        </w:rPr>
        <w:t>El Secretario General del honorable Senado de la República,</w:t>
      </w:r>
    </w:p>
    <w:p w:rsidR="005F4B42" w:rsidRDefault="005F4B42" w:rsidP="005F4B42">
      <w:pPr>
        <w:pStyle w:val="NormalWeb"/>
        <w:jc w:val="center"/>
        <w:rPr>
          <w:rFonts w:ascii="Arial" w:hAnsi="Arial" w:cs="Arial"/>
          <w:b/>
          <w:bCs/>
        </w:rPr>
      </w:pPr>
      <w:r>
        <w:rPr>
          <w:rFonts w:ascii="Arial" w:hAnsi="Arial" w:cs="Arial"/>
          <w:b/>
          <w:bCs/>
        </w:rPr>
        <w:t>Emilio Ramón Otero Dajud.</w:t>
      </w:r>
    </w:p>
    <w:p w:rsidR="005F4B42" w:rsidRDefault="005F4B42" w:rsidP="005F4B42">
      <w:pPr>
        <w:pStyle w:val="NormalWeb"/>
        <w:jc w:val="center"/>
        <w:rPr>
          <w:rFonts w:ascii="Arial" w:hAnsi="Arial" w:cs="Arial"/>
          <w:b/>
          <w:bCs/>
        </w:rPr>
      </w:pPr>
      <w:r>
        <w:rPr>
          <w:rFonts w:ascii="Arial" w:hAnsi="Arial" w:cs="Arial"/>
          <w:b/>
          <w:bCs/>
        </w:rPr>
        <w:t>La Presidenta de la honorable Cámara de Representantes,</w:t>
      </w:r>
    </w:p>
    <w:p w:rsidR="005F4B42" w:rsidRDefault="005F4B42" w:rsidP="005F4B42">
      <w:pPr>
        <w:pStyle w:val="NormalWeb"/>
        <w:jc w:val="center"/>
        <w:rPr>
          <w:rFonts w:ascii="Arial" w:hAnsi="Arial" w:cs="Arial"/>
          <w:b/>
          <w:bCs/>
        </w:rPr>
      </w:pPr>
      <w:r>
        <w:rPr>
          <w:rFonts w:ascii="Arial" w:hAnsi="Arial" w:cs="Arial"/>
          <w:b/>
          <w:bCs/>
        </w:rPr>
        <w:t>Zulema del Carmen Jattin Corrales.</w:t>
      </w:r>
    </w:p>
    <w:p w:rsidR="005F4B42" w:rsidRDefault="005F4B42" w:rsidP="005F4B42">
      <w:pPr>
        <w:pStyle w:val="NormalWeb"/>
        <w:jc w:val="center"/>
        <w:rPr>
          <w:rFonts w:ascii="Arial" w:hAnsi="Arial" w:cs="Arial"/>
          <w:b/>
          <w:bCs/>
        </w:rPr>
      </w:pPr>
      <w:r>
        <w:rPr>
          <w:rFonts w:ascii="Arial" w:hAnsi="Arial" w:cs="Arial"/>
          <w:b/>
          <w:bCs/>
        </w:rPr>
        <w:t>El Secretario General de la honorable Cámara de Representantes,</w:t>
      </w:r>
    </w:p>
    <w:p w:rsidR="005F4B42" w:rsidRDefault="005F4B42" w:rsidP="005F4B42">
      <w:pPr>
        <w:pStyle w:val="NormalWeb"/>
        <w:jc w:val="center"/>
        <w:rPr>
          <w:rFonts w:ascii="Arial" w:hAnsi="Arial" w:cs="Arial"/>
          <w:b/>
          <w:bCs/>
        </w:rPr>
      </w:pPr>
      <w:r>
        <w:rPr>
          <w:rFonts w:ascii="Arial" w:hAnsi="Arial" w:cs="Arial"/>
          <w:b/>
          <w:bCs/>
        </w:rPr>
        <w:t>Angelino Lizcano Rivera.</w:t>
      </w:r>
    </w:p>
    <w:p w:rsidR="005F4B42" w:rsidRDefault="005F4B42" w:rsidP="005F4B42">
      <w:pPr>
        <w:pStyle w:val="NormalWeb"/>
        <w:jc w:val="center"/>
        <w:rPr>
          <w:rFonts w:ascii="Arial" w:hAnsi="Arial" w:cs="Arial"/>
          <w:b/>
          <w:bCs/>
        </w:rPr>
      </w:pPr>
      <w:r>
        <w:rPr>
          <w:rFonts w:ascii="Arial" w:hAnsi="Arial" w:cs="Arial"/>
          <w:b/>
          <w:bCs/>
        </w:rPr>
        <w:t>REPUBLICA DE COLOMBIA - GOBIERNO NACIONAL</w:t>
      </w:r>
    </w:p>
    <w:p w:rsidR="005F4B42" w:rsidRDefault="005F4B42" w:rsidP="005F4B42">
      <w:pPr>
        <w:pStyle w:val="NormalWeb"/>
        <w:jc w:val="center"/>
        <w:rPr>
          <w:rFonts w:ascii="Arial" w:hAnsi="Arial" w:cs="Arial"/>
          <w:b/>
          <w:bCs/>
        </w:rPr>
      </w:pPr>
      <w:r>
        <w:rPr>
          <w:rFonts w:ascii="Arial" w:hAnsi="Arial" w:cs="Arial"/>
          <w:b/>
          <w:bCs/>
        </w:rPr>
        <w:t>Publíquese y ejecútese.</w:t>
      </w:r>
    </w:p>
    <w:p w:rsidR="005F4B42" w:rsidRDefault="005F4B42" w:rsidP="005F4B42">
      <w:pPr>
        <w:pStyle w:val="NormalWeb"/>
        <w:jc w:val="center"/>
        <w:rPr>
          <w:rFonts w:ascii="Arial" w:hAnsi="Arial" w:cs="Arial"/>
          <w:b/>
          <w:bCs/>
        </w:rPr>
      </w:pPr>
      <w:r>
        <w:rPr>
          <w:rFonts w:ascii="Arial" w:hAnsi="Arial" w:cs="Arial"/>
          <w:b/>
          <w:bCs/>
        </w:rPr>
        <w:lastRenderedPageBreak/>
        <w:t>Dado en Bogotá, D. C., a 22 de julio de 2005.</w:t>
      </w:r>
    </w:p>
    <w:p w:rsidR="005F4B42" w:rsidRDefault="005F4B42" w:rsidP="005F4B42">
      <w:pPr>
        <w:pStyle w:val="NormalWeb"/>
        <w:jc w:val="center"/>
        <w:rPr>
          <w:rFonts w:ascii="Arial" w:hAnsi="Arial" w:cs="Arial"/>
          <w:b/>
          <w:bCs/>
        </w:rPr>
      </w:pPr>
      <w:r>
        <w:rPr>
          <w:rFonts w:ascii="Arial" w:hAnsi="Arial" w:cs="Arial"/>
          <w:b/>
          <w:bCs/>
        </w:rPr>
        <w:t>ÁLVARO URIBE VÉLEZ</w:t>
      </w:r>
    </w:p>
    <w:p w:rsidR="005F4B42" w:rsidRDefault="005F4B42" w:rsidP="005F4B42">
      <w:pPr>
        <w:pStyle w:val="NormalWeb"/>
        <w:jc w:val="center"/>
        <w:rPr>
          <w:rFonts w:ascii="Arial" w:hAnsi="Arial" w:cs="Arial"/>
          <w:b/>
          <w:bCs/>
        </w:rPr>
      </w:pPr>
      <w:r>
        <w:rPr>
          <w:rFonts w:ascii="Arial" w:hAnsi="Arial" w:cs="Arial"/>
          <w:b/>
          <w:bCs/>
        </w:rPr>
        <w:t>El Ministro de Hacienda y Crédito Público,</w:t>
      </w:r>
    </w:p>
    <w:p w:rsidR="005F4B42" w:rsidRDefault="005F4B42" w:rsidP="005F4B42">
      <w:pPr>
        <w:pStyle w:val="NormalWeb"/>
        <w:jc w:val="center"/>
        <w:rPr>
          <w:rFonts w:ascii="Arial" w:hAnsi="Arial" w:cs="Arial"/>
          <w:b/>
          <w:bCs/>
        </w:rPr>
      </w:pPr>
      <w:r>
        <w:rPr>
          <w:rFonts w:ascii="Arial" w:hAnsi="Arial" w:cs="Arial"/>
          <w:b/>
          <w:bCs/>
        </w:rPr>
        <w:t>Alberto Carrasquilla Barrera.</w:t>
      </w:r>
    </w:p>
    <w:p w:rsidR="005F4B42" w:rsidRDefault="005F4B42" w:rsidP="005F4B42">
      <w:pPr>
        <w:pStyle w:val="NormalWeb"/>
        <w:jc w:val="center"/>
        <w:rPr>
          <w:rFonts w:ascii="Arial" w:hAnsi="Arial" w:cs="Arial"/>
          <w:b/>
          <w:bCs/>
        </w:rPr>
      </w:pPr>
      <w:r>
        <w:rPr>
          <w:rFonts w:ascii="Arial" w:hAnsi="Arial" w:cs="Arial"/>
          <w:b/>
          <w:bCs/>
        </w:rPr>
        <w:t>El Ministro de la Protección Social,</w:t>
      </w:r>
    </w:p>
    <w:p w:rsidR="005F4B42" w:rsidRDefault="005F4B42" w:rsidP="005F4B42">
      <w:pPr>
        <w:pStyle w:val="NormalWeb"/>
        <w:jc w:val="center"/>
        <w:rPr>
          <w:rFonts w:ascii="Arial" w:hAnsi="Arial" w:cs="Arial"/>
          <w:b/>
          <w:bCs/>
        </w:rPr>
      </w:pPr>
      <w:r>
        <w:rPr>
          <w:rFonts w:ascii="Arial" w:hAnsi="Arial" w:cs="Arial"/>
          <w:b/>
          <w:bCs/>
        </w:rPr>
        <w:t>Diego Palacio Betancourt.</w:t>
      </w:r>
    </w:p>
    <w:p w:rsidR="005F4B42" w:rsidRDefault="005F4B42" w:rsidP="005F4B42">
      <w:pPr>
        <w:pStyle w:val="NormalWeb"/>
        <w:rPr>
          <w:rFonts w:ascii="Arial" w:hAnsi="Arial" w:cs="Arial"/>
          <w:b/>
          <w:bCs/>
        </w:rPr>
      </w:pPr>
      <w:r>
        <w:rPr>
          <w:rFonts w:ascii="Arial" w:hAnsi="Arial" w:cs="Arial"/>
          <w:b/>
          <w:bCs/>
        </w:rPr>
        <w:t>NOTA: Publicado en el Diario Oficial 45980 de julio 25 de 2005.</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B3D63"/>
    <w:rsid w:val="00033CD0"/>
    <w:rsid w:val="00394BB9"/>
    <w:rsid w:val="004B3D63"/>
    <w:rsid w:val="005F4B42"/>
    <w:rsid w:val="0062208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F4B42"/>
    <w:rPr>
      <w:color w:val="0000FF"/>
      <w:u w:val="single"/>
    </w:rPr>
  </w:style>
  <w:style w:type="paragraph" w:styleId="NormalWeb">
    <w:name w:val="Normal (Web)"/>
    <w:basedOn w:val="Normal"/>
    <w:uiPriority w:val="99"/>
    <w:semiHidden/>
    <w:unhideWhenUsed/>
    <w:rsid w:val="005F4B42"/>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03036643">
      <w:bodyDiv w:val="1"/>
      <w:marLeft w:val="0"/>
      <w:marRight w:val="0"/>
      <w:marTop w:val="0"/>
      <w:marBottom w:val="0"/>
      <w:divBdr>
        <w:top w:val="none" w:sz="0" w:space="0" w:color="auto"/>
        <w:left w:val="none" w:sz="0" w:space="0" w:color="auto"/>
        <w:bottom w:val="none" w:sz="0" w:space="0" w:color="auto"/>
        <w:right w:val="none" w:sz="0" w:space="0" w:color="auto"/>
      </w:divBdr>
      <w:divsChild>
        <w:div w:id="1429427106">
          <w:marLeft w:val="0"/>
          <w:marRight w:val="0"/>
          <w:marTop w:val="0"/>
          <w:marBottom w:val="0"/>
          <w:divBdr>
            <w:top w:val="none" w:sz="0" w:space="0" w:color="auto"/>
            <w:left w:val="none" w:sz="0" w:space="0" w:color="auto"/>
            <w:bottom w:val="none" w:sz="0" w:space="0" w:color="auto"/>
            <w:right w:val="none" w:sz="0" w:space="0" w:color="auto"/>
          </w:divBdr>
          <w:divsChild>
            <w:div w:id="1338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caldiabogota.gov.co/sisjur/normas/Norma1.jsp?i=52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8795" TargetMode="External"/><Relationship Id="rId5" Type="http://schemas.openxmlformats.org/officeDocument/2006/relationships/hyperlink" Target="http://www.alcaldiabogota.gov.co/sisjur/normas/Norma1.jsp?i=4125" TargetMode="External"/><Relationship Id="rId4" Type="http://schemas.openxmlformats.org/officeDocument/2006/relationships/hyperlink" Target="http://www.alcaldiabogota.gov.co/sisjur/normas/Norma1.jsp?i=17234"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6644</Characters>
  <Application>Microsoft Office Word</Application>
  <DocSecurity>0</DocSecurity>
  <Lines>55</Lines>
  <Paragraphs>15</Paragraphs>
  <ScaleCrop>false</ScaleCrop>
  <Company>Your Company Name</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2011-02-20T15:27:00Z</dcterms:created>
  <dcterms:modified xsi:type="dcterms:W3CDTF">2011-02-20T15:28:00Z</dcterms:modified>
</cp:coreProperties>
</file>