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9273FC" w:rsidTr="009273FC">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434"/>
              <w:gridCol w:w="5220"/>
            </w:tblGrid>
            <w:tr w:rsidR="009273FC">
              <w:trPr>
                <w:tblCellSpacing w:w="0" w:type="dxa"/>
              </w:trPr>
              <w:tc>
                <w:tcPr>
                  <w:tcW w:w="0" w:type="auto"/>
                  <w:vMerge w:val="restart"/>
                  <w:hideMark/>
                </w:tcPr>
                <w:p w:rsidR="009273FC" w:rsidRDefault="009273FC">
                  <w:pPr>
                    <w:rPr>
                      <w:rFonts w:ascii="Arial" w:hAnsi="Arial" w:cs="Arial"/>
                    </w:rPr>
                  </w:pPr>
                  <w:r>
                    <w:rPr>
                      <w:rFonts w:ascii="Arial" w:hAnsi="Arial" w:cs="Arial"/>
                      <w:noProof/>
                    </w:rPr>
                    <w:drawing>
                      <wp:inline distT="0" distB="0" distL="0" distR="0">
                        <wp:extent cx="1526540" cy="572770"/>
                        <wp:effectExtent l="19050" t="0" r="0" b="0"/>
                        <wp:docPr id="1" name="Imagen 1"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iabogota.gov.co/sisjur/images/compedit.jpg"/>
                                <pic:cNvPicPr>
                                  <a:picLocks noChangeAspect="1" noChangeArrowheads="1"/>
                                </pic:cNvPicPr>
                              </pic:nvPicPr>
                              <pic:blipFill>
                                <a:blip r:embed="rId4"/>
                                <a:srcRect/>
                                <a:stretch>
                                  <a:fillRect/>
                                </a:stretch>
                              </pic:blipFill>
                              <pic:spPr bwMode="auto">
                                <a:xfrm>
                                  <a:off x="0" y="0"/>
                                  <a:ext cx="1526540" cy="572770"/>
                                </a:xfrm>
                                <a:prstGeom prst="rect">
                                  <a:avLst/>
                                </a:prstGeom>
                                <a:noFill/>
                                <a:ln w="9525">
                                  <a:noFill/>
                                  <a:miter lim="800000"/>
                                  <a:headEnd/>
                                  <a:tailEnd/>
                                </a:ln>
                              </pic:spPr>
                            </pic:pic>
                          </a:graphicData>
                        </a:graphic>
                      </wp:inline>
                    </w:drawing>
                  </w:r>
                </w:p>
              </w:tc>
              <w:tc>
                <w:tcPr>
                  <w:tcW w:w="5000" w:type="pct"/>
                  <w:hideMark/>
                </w:tcPr>
                <w:p w:rsidR="009273FC" w:rsidRDefault="009273FC">
                  <w:pPr>
                    <w:jc w:val="right"/>
                    <w:rPr>
                      <w:rFonts w:ascii="Arial" w:hAnsi="Arial" w:cs="Arial"/>
                    </w:rPr>
                  </w:pPr>
                  <w:r>
                    <w:rPr>
                      <w:rFonts w:ascii="Arial" w:hAnsi="Arial" w:cs="Arial"/>
                    </w:rPr>
                    <w:t xml:space="preserve">  </w:t>
                  </w:r>
                </w:p>
              </w:tc>
            </w:tr>
            <w:tr w:rsidR="009273FC">
              <w:trPr>
                <w:gridAfter w:val="1"/>
                <w:wAfter w:w="960" w:type="dxa"/>
                <w:trHeight w:val="276"/>
                <w:tblCellSpacing w:w="0" w:type="dxa"/>
              </w:trPr>
              <w:tc>
                <w:tcPr>
                  <w:tcW w:w="0" w:type="auto"/>
                  <w:vMerge/>
                  <w:vAlign w:val="center"/>
                  <w:hideMark/>
                </w:tcPr>
                <w:p w:rsidR="009273FC" w:rsidRDefault="009273FC">
                  <w:pPr>
                    <w:rPr>
                      <w:rFonts w:ascii="Arial" w:hAnsi="Arial" w:cs="Arial"/>
                    </w:rPr>
                  </w:pPr>
                </w:p>
              </w:tc>
            </w:tr>
          </w:tbl>
          <w:p w:rsidR="009273FC" w:rsidRDefault="009273FC">
            <w:pPr>
              <w:rPr>
                <w:rFonts w:ascii="Arial" w:hAnsi="Arial" w:cs="Arial"/>
              </w:rPr>
            </w:pPr>
          </w:p>
        </w:tc>
      </w:tr>
    </w:tbl>
    <w:p w:rsidR="009273FC" w:rsidRDefault="009273FC" w:rsidP="009273FC">
      <w:pPr>
        <w:pStyle w:val="NormalWeb"/>
        <w:jc w:val="center"/>
        <w:rPr>
          <w:rFonts w:ascii="Arial" w:hAnsi="Arial" w:cs="Arial"/>
          <w:b/>
          <w:bCs/>
        </w:rPr>
      </w:pPr>
      <w:r>
        <w:rPr>
          <w:rFonts w:ascii="Arial" w:hAnsi="Arial" w:cs="Arial"/>
          <w:b/>
          <w:bCs/>
        </w:rPr>
        <w:t>ACTO LEGISLATIVO 03 DE 2005</w:t>
      </w:r>
    </w:p>
    <w:p w:rsidR="009273FC" w:rsidRDefault="009273FC" w:rsidP="009273FC">
      <w:pPr>
        <w:pStyle w:val="NormalWeb"/>
        <w:jc w:val="center"/>
        <w:rPr>
          <w:rFonts w:ascii="Arial" w:hAnsi="Arial" w:cs="Arial"/>
          <w:b/>
          <w:bCs/>
        </w:rPr>
      </w:pPr>
      <w:r>
        <w:rPr>
          <w:rFonts w:ascii="Arial" w:hAnsi="Arial" w:cs="Arial"/>
          <w:b/>
          <w:bCs/>
        </w:rPr>
        <w:t>(</w:t>
      </w:r>
      <w:proofErr w:type="gramStart"/>
      <w:r>
        <w:rPr>
          <w:rFonts w:ascii="Arial" w:hAnsi="Arial" w:cs="Arial"/>
          <w:b/>
          <w:bCs/>
        </w:rPr>
        <w:t>diciembre</w:t>
      </w:r>
      <w:proofErr w:type="gramEnd"/>
      <w:r>
        <w:rPr>
          <w:rFonts w:ascii="Arial" w:hAnsi="Arial" w:cs="Arial"/>
          <w:b/>
          <w:bCs/>
        </w:rPr>
        <w:t xml:space="preserve"> 29)</w:t>
      </w:r>
    </w:p>
    <w:p w:rsidR="009273FC" w:rsidRDefault="009273FC" w:rsidP="009273FC">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el cual se modifica el artículo </w:t>
      </w:r>
      <w:hyperlink r:id="rId5" w:anchor="176" w:history="1">
        <w:r>
          <w:rPr>
            <w:rStyle w:val="Hipervnculo"/>
            <w:rFonts w:ascii="Arial" w:hAnsi="Arial" w:cs="Arial"/>
            <w:b/>
            <w:bCs/>
          </w:rPr>
          <w:t>176</w:t>
        </w:r>
      </w:hyperlink>
      <w:r>
        <w:rPr>
          <w:rFonts w:ascii="Arial" w:hAnsi="Arial" w:cs="Arial"/>
          <w:b/>
          <w:bCs/>
        </w:rPr>
        <w:t xml:space="preserve"> de la Constitución Política.</w:t>
      </w:r>
    </w:p>
    <w:p w:rsidR="009273FC" w:rsidRDefault="009273FC" w:rsidP="009273FC">
      <w:pPr>
        <w:pStyle w:val="NormalWeb"/>
        <w:jc w:val="center"/>
        <w:rPr>
          <w:rFonts w:ascii="Arial" w:hAnsi="Arial" w:cs="Arial"/>
          <w:b/>
          <w:bCs/>
        </w:rPr>
      </w:pPr>
      <w:r>
        <w:rPr>
          <w:rFonts w:ascii="Arial" w:hAnsi="Arial" w:cs="Arial"/>
          <w:b/>
          <w:bCs/>
        </w:rPr>
        <w:t>El Congreso de Colombia</w:t>
      </w:r>
    </w:p>
    <w:p w:rsidR="009273FC" w:rsidRDefault="009273FC" w:rsidP="009273FC">
      <w:pPr>
        <w:pStyle w:val="NormalWeb"/>
        <w:jc w:val="center"/>
        <w:rPr>
          <w:rFonts w:ascii="Arial" w:hAnsi="Arial" w:cs="Arial"/>
          <w:b/>
          <w:bCs/>
        </w:rPr>
      </w:pPr>
      <w:r>
        <w:rPr>
          <w:rFonts w:ascii="Arial" w:hAnsi="Arial" w:cs="Arial"/>
          <w:b/>
          <w:bCs/>
        </w:rPr>
        <w:t>DECRETA:</w:t>
      </w:r>
    </w:p>
    <w:p w:rsidR="009273FC" w:rsidRDefault="009273FC" w:rsidP="009273FC">
      <w:pPr>
        <w:pStyle w:val="NormalWeb"/>
        <w:rPr>
          <w:rFonts w:ascii="Arial" w:hAnsi="Arial" w:cs="Arial"/>
        </w:rPr>
      </w:pPr>
      <w:r>
        <w:rPr>
          <w:rFonts w:ascii="Arial" w:hAnsi="Arial" w:cs="Arial"/>
          <w:b/>
          <w:bCs/>
        </w:rPr>
        <w:t>Artículo 1°</w:t>
      </w:r>
      <w:r>
        <w:rPr>
          <w:rFonts w:ascii="Arial" w:hAnsi="Arial" w:cs="Arial"/>
        </w:rPr>
        <w:t>. El artículo 176 de la Constitución Política quedará así:</w:t>
      </w:r>
    </w:p>
    <w:p w:rsidR="009273FC" w:rsidRDefault="009273FC" w:rsidP="009273FC">
      <w:pPr>
        <w:pStyle w:val="NormalWeb"/>
        <w:rPr>
          <w:rFonts w:ascii="Arial" w:hAnsi="Arial" w:cs="Arial"/>
        </w:rPr>
      </w:pPr>
      <w:r>
        <w:rPr>
          <w:rFonts w:ascii="Arial" w:hAnsi="Arial" w:cs="Arial"/>
        </w:rPr>
        <w:t>Artículo 176. La Cámara de Representantes se elegirá en circunscripciones territoriales, circunscripciones especiales y una circunscripción internacional.</w:t>
      </w:r>
    </w:p>
    <w:p w:rsidR="009273FC" w:rsidRDefault="009273FC" w:rsidP="009273FC">
      <w:pPr>
        <w:pStyle w:val="NormalWeb"/>
        <w:rPr>
          <w:rFonts w:ascii="Arial" w:hAnsi="Arial" w:cs="Arial"/>
        </w:rPr>
      </w:pPr>
      <w:r>
        <w:rPr>
          <w:rFonts w:ascii="Arial" w:hAnsi="Arial" w:cs="Arial"/>
        </w:rPr>
        <w:t>Habrá dos representantes por cada circunscripción territorial y uno más por cada 365.000 habitantes o fracción mayor de 182.500 que tengan en exceso sobre los primeros 365.000.</w:t>
      </w:r>
    </w:p>
    <w:p w:rsidR="009273FC" w:rsidRDefault="009273FC" w:rsidP="009273FC">
      <w:pPr>
        <w:pStyle w:val="NormalWeb"/>
        <w:rPr>
          <w:rFonts w:ascii="Arial" w:hAnsi="Arial" w:cs="Arial"/>
        </w:rPr>
      </w:pPr>
      <w:r>
        <w:rPr>
          <w:rFonts w:ascii="Arial" w:hAnsi="Arial" w:cs="Arial"/>
        </w:rPr>
        <w:t>Para la elección de Representantes a la Cámara, cada departamento y el Distrito Capital de Bogotá conformarán una circunscripción territorial.</w:t>
      </w:r>
    </w:p>
    <w:p w:rsidR="009273FC" w:rsidRDefault="009273FC" w:rsidP="009273FC">
      <w:pPr>
        <w:pStyle w:val="NormalWeb"/>
        <w:rPr>
          <w:rFonts w:ascii="Arial" w:hAnsi="Arial" w:cs="Arial"/>
        </w:rPr>
      </w:pPr>
      <w:r>
        <w:rPr>
          <w:rFonts w:ascii="Arial" w:hAnsi="Arial" w:cs="Arial"/>
        </w:rPr>
        <w:t>La ley podrá establecer una circunscripción especial para asegurar la participación en la Cámara de Representantes de los grupos étnicos y de las minorías políticas.</w:t>
      </w:r>
    </w:p>
    <w:p w:rsidR="009273FC" w:rsidRDefault="009273FC" w:rsidP="009273FC">
      <w:pPr>
        <w:pStyle w:val="NormalWeb"/>
        <w:rPr>
          <w:rFonts w:ascii="Arial" w:hAnsi="Arial" w:cs="Arial"/>
        </w:rPr>
      </w:pPr>
      <w:r>
        <w:rPr>
          <w:rFonts w:ascii="Arial" w:hAnsi="Arial" w:cs="Arial"/>
        </w:rPr>
        <w:t>Mediante esta circunscripción se podrán elegir hasta cuatro representantes.</w:t>
      </w:r>
    </w:p>
    <w:p w:rsidR="009273FC" w:rsidRDefault="009273FC" w:rsidP="009273FC">
      <w:pPr>
        <w:pStyle w:val="NormalWeb"/>
        <w:rPr>
          <w:rFonts w:ascii="Arial" w:hAnsi="Arial" w:cs="Arial"/>
        </w:rPr>
      </w:pPr>
      <w:r>
        <w:rPr>
          <w:rFonts w:ascii="Arial" w:hAnsi="Arial" w:cs="Arial"/>
        </w:rPr>
        <w:t>Para los colombianos residentes en el exterior existirá una circunscripción internacional mediante la cual se elegirá un Representante a la Cámara. En ella solo se contabilizarán los votos depositados fuera del territorio nacional por ciudadanos residentes en el exterior.</w:t>
      </w:r>
    </w:p>
    <w:p w:rsidR="009273FC" w:rsidRDefault="009273FC" w:rsidP="009273FC">
      <w:pPr>
        <w:pStyle w:val="NormalWeb"/>
        <w:rPr>
          <w:rFonts w:ascii="Arial" w:hAnsi="Arial" w:cs="Arial"/>
        </w:rPr>
      </w:pPr>
      <w:r>
        <w:rPr>
          <w:rFonts w:ascii="Arial" w:hAnsi="Arial" w:cs="Arial"/>
          <w:b/>
          <w:bCs/>
        </w:rPr>
        <w:t>Parágrafo 1°</w:t>
      </w:r>
      <w:r>
        <w:rPr>
          <w:rFonts w:ascii="Arial" w:hAnsi="Arial" w:cs="Arial"/>
        </w:rPr>
        <w:t>.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rsidR="009273FC" w:rsidRDefault="009273FC" w:rsidP="009273FC">
      <w:pPr>
        <w:pStyle w:val="NormalWeb"/>
        <w:rPr>
          <w:rFonts w:ascii="Arial" w:hAnsi="Arial" w:cs="Arial"/>
        </w:rPr>
      </w:pPr>
      <w:r>
        <w:rPr>
          <w:rFonts w:ascii="Arial" w:hAnsi="Arial" w:cs="Arial"/>
          <w:b/>
          <w:bCs/>
        </w:rPr>
        <w:t>Parágrafo 2°</w:t>
      </w:r>
      <w:r>
        <w:rPr>
          <w:rFonts w:ascii="Arial" w:hAnsi="Arial" w:cs="Arial"/>
        </w:rPr>
        <w:t>. Si como resultado de la aplicación de la fórmula contenida en el presente artículo, una circunscripción territorial pierde una o más curules, mantendrá las mismas que le correspondieron a 20 de julio de 2002.</w:t>
      </w:r>
    </w:p>
    <w:p w:rsidR="009273FC" w:rsidRDefault="009273FC" w:rsidP="009273FC">
      <w:pPr>
        <w:pStyle w:val="NormalWeb"/>
        <w:rPr>
          <w:rFonts w:ascii="Arial" w:hAnsi="Arial" w:cs="Arial"/>
        </w:rPr>
      </w:pPr>
      <w:r>
        <w:rPr>
          <w:rStyle w:val="Textoennegrita"/>
          <w:rFonts w:ascii="Arial" w:hAnsi="Arial" w:cs="Arial"/>
        </w:rPr>
        <w:t>Parágrafo Transitorio.</w:t>
      </w:r>
      <w:r>
        <w:rPr>
          <w:rFonts w:ascii="Arial" w:hAnsi="Arial" w:cs="Arial"/>
        </w:rPr>
        <w:t xml:space="preserve"> El Congreso de la República reglamentará la circunscripción internacional a más tardar el 15 de diciembre de 2005, caso contrario, lo hará el Gobierno Nacional dentro de los quince (15) días siguientes a esa fecha; incluirá entre otros temas: inscripción de candidatos, inscripción de </w:t>
      </w:r>
      <w:r>
        <w:rPr>
          <w:rFonts w:ascii="Arial" w:hAnsi="Arial" w:cs="Arial"/>
        </w:rPr>
        <w:lastRenderedPageBreak/>
        <w:t>ciudadanos habilitados para votar en el exterior, mecanismos para promover la participación y realización del escrutinio de votos a través de los Consulados y financiación estatal para visitas al exterior por parte del Representante elegido.</w:t>
      </w:r>
    </w:p>
    <w:p w:rsidR="009273FC" w:rsidRDefault="009273FC" w:rsidP="009273FC">
      <w:pPr>
        <w:pStyle w:val="NormalWeb"/>
        <w:rPr>
          <w:rFonts w:ascii="Arial" w:hAnsi="Arial" w:cs="Arial"/>
        </w:rPr>
      </w:pPr>
      <w:r>
        <w:rPr>
          <w:rFonts w:ascii="Arial" w:hAnsi="Arial" w:cs="Arial"/>
          <w:b/>
          <w:bCs/>
        </w:rPr>
        <w:t>Artículo 2°</w:t>
      </w:r>
      <w:r>
        <w:rPr>
          <w:rFonts w:ascii="Arial" w:hAnsi="Arial" w:cs="Arial"/>
        </w:rPr>
        <w:t>. Lo dispuesto en este Acto Legislativo en relación con la conformación de la Cámara de Representantes por circunscripciones territoriales regirá a partir de las elecciones que se celebren en el año 2010. Lo relativo a las circunscripciones especiales y a la circunscripción internacional regirá a partir de las siguientes elecciones posteriores a su vigencia.</w:t>
      </w:r>
    </w:p>
    <w:p w:rsidR="009273FC" w:rsidRDefault="009273FC" w:rsidP="009273FC">
      <w:pPr>
        <w:pStyle w:val="NormalWeb"/>
        <w:jc w:val="center"/>
        <w:rPr>
          <w:rFonts w:ascii="Arial" w:hAnsi="Arial" w:cs="Arial"/>
          <w:b/>
          <w:bCs/>
        </w:rPr>
      </w:pPr>
      <w:r>
        <w:rPr>
          <w:rFonts w:ascii="Arial" w:hAnsi="Arial" w:cs="Arial"/>
          <w:b/>
          <w:bCs/>
        </w:rPr>
        <w:t>La Presidenta del honorable Senado de la República,</w:t>
      </w:r>
    </w:p>
    <w:p w:rsidR="009273FC" w:rsidRDefault="009273FC" w:rsidP="009273FC">
      <w:pPr>
        <w:pStyle w:val="NormalWeb"/>
        <w:jc w:val="center"/>
        <w:rPr>
          <w:rFonts w:ascii="Arial" w:hAnsi="Arial" w:cs="Arial"/>
          <w:b/>
          <w:bCs/>
        </w:rPr>
      </w:pPr>
      <w:r>
        <w:rPr>
          <w:rFonts w:ascii="Arial" w:hAnsi="Arial" w:cs="Arial"/>
          <w:b/>
          <w:bCs/>
        </w:rPr>
        <w:t xml:space="preserve">Claudia </w:t>
      </w:r>
      <w:proofErr w:type="spellStart"/>
      <w:r>
        <w:rPr>
          <w:rFonts w:ascii="Arial" w:hAnsi="Arial" w:cs="Arial"/>
          <w:b/>
          <w:bCs/>
        </w:rPr>
        <w:t>Blum</w:t>
      </w:r>
      <w:proofErr w:type="spellEnd"/>
      <w:r>
        <w:rPr>
          <w:rFonts w:ascii="Arial" w:hAnsi="Arial" w:cs="Arial"/>
          <w:b/>
          <w:bCs/>
        </w:rPr>
        <w:t xml:space="preserve"> de </w:t>
      </w:r>
      <w:proofErr w:type="spellStart"/>
      <w:r>
        <w:rPr>
          <w:rFonts w:ascii="Arial" w:hAnsi="Arial" w:cs="Arial"/>
          <w:b/>
          <w:bCs/>
        </w:rPr>
        <w:t>Barberi</w:t>
      </w:r>
      <w:proofErr w:type="spellEnd"/>
      <w:r>
        <w:rPr>
          <w:rFonts w:ascii="Arial" w:hAnsi="Arial" w:cs="Arial"/>
          <w:b/>
          <w:bCs/>
        </w:rPr>
        <w:t>.</w:t>
      </w:r>
    </w:p>
    <w:p w:rsidR="009273FC" w:rsidRDefault="009273FC" w:rsidP="009273FC">
      <w:pPr>
        <w:pStyle w:val="NormalWeb"/>
        <w:jc w:val="center"/>
        <w:rPr>
          <w:rFonts w:ascii="Arial" w:hAnsi="Arial" w:cs="Arial"/>
          <w:b/>
          <w:bCs/>
        </w:rPr>
      </w:pPr>
      <w:r>
        <w:rPr>
          <w:rFonts w:ascii="Arial" w:hAnsi="Arial" w:cs="Arial"/>
          <w:b/>
          <w:bCs/>
        </w:rPr>
        <w:t>El Secretario General del honorable Senado de la República,</w:t>
      </w:r>
    </w:p>
    <w:p w:rsidR="009273FC" w:rsidRDefault="009273FC" w:rsidP="009273FC">
      <w:pPr>
        <w:pStyle w:val="NormalWeb"/>
        <w:jc w:val="center"/>
        <w:rPr>
          <w:rFonts w:ascii="Arial" w:hAnsi="Arial" w:cs="Arial"/>
          <w:b/>
          <w:bCs/>
        </w:rPr>
      </w:pPr>
      <w:r>
        <w:rPr>
          <w:rFonts w:ascii="Arial" w:hAnsi="Arial" w:cs="Arial"/>
          <w:b/>
          <w:bCs/>
        </w:rPr>
        <w:t xml:space="preserve">Emilio Ramón Otero </w:t>
      </w:r>
      <w:proofErr w:type="spellStart"/>
      <w:r>
        <w:rPr>
          <w:rFonts w:ascii="Arial" w:hAnsi="Arial" w:cs="Arial"/>
          <w:b/>
          <w:bCs/>
        </w:rPr>
        <w:t>Dajud</w:t>
      </w:r>
      <w:proofErr w:type="spellEnd"/>
      <w:r>
        <w:rPr>
          <w:rFonts w:ascii="Arial" w:hAnsi="Arial" w:cs="Arial"/>
          <w:b/>
          <w:bCs/>
        </w:rPr>
        <w:t>.</w:t>
      </w:r>
    </w:p>
    <w:p w:rsidR="009273FC" w:rsidRDefault="009273FC" w:rsidP="009273FC">
      <w:pPr>
        <w:pStyle w:val="NormalWeb"/>
        <w:jc w:val="center"/>
        <w:rPr>
          <w:rFonts w:ascii="Arial" w:hAnsi="Arial" w:cs="Arial"/>
          <w:b/>
          <w:bCs/>
        </w:rPr>
      </w:pPr>
      <w:r>
        <w:rPr>
          <w:rFonts w:ascii="Arial" w:hAnsi="Arial" w:cs="Arial"/>
          <w:b/>
          <w:bCs/>
        </w:rPr>
        <w:t>El Presidente de la honorable Cámara de Representantes,</w:t>
      </w:r>
    </w:p>
    <w:p w:rsidR="009273FC" w:rsidRDefault="009273FC" w:rsidP="009273FC">
      <w:pPr>
        <w:pStyle w:val="NormalWeb"/>
        <w:jc w:val="center"/>
        <w:rPr>
          <w:rFonts w:ascii="Arial" w:hAnsi="Arial" w:cs="Arial"/>
          <w:b/>
          <w:bCs/>
        </w:rPr>
      </w:pPr>
      <w:r>
        <w:rPr>
          <w:rFonts w:ascii="Arial" w:hAnsi="Arial" w:cs="Arial"/>
          <w:b/>
          <w:bCs/>
        </w:rPr>
        <w:t xml:space="preserve">Julio E. Gallardo </w:t>
      </w:r>
      <w:proofErr w:type="spellStart"/>
      <w:r>
        <w:rPr>
          <w:rFonts w:ascii="Arial" w:hAnsi="Arial" w:cs="Arial"/>
          <w:b/>
          <w:bCs/>
        </w:rPr>
        <w:t>Archbold</w:t>
      </w:r>
      <w:proofErr w:type="spellEnd"/>
      <w:r>
        <w:rPr>
          <w:rFonts w:ascii="Arial" w:hAnsi="Arial" w:cs="Arial"/>
          <w:b/>
          <w:bCs/>
        </w:rPr>
        <w:t>.</w:t>
      </w:r>
    </w:p>
    <w:p w:rsidR="009273FC" w:rsidRDefault="009273FC" w:rsidP="009273FC">
      <w:pPr>
        <w:pStyle w:val="NormalWeb"/>
        <w:jc w:val="center"/>
        <w:rPr>
          <w:rFonts w:ascii="Arial" w:hAnsi="Arial" w:cs="Arial"/>
          <w:b/>
          <w:bCs/>
        </w:rPr>
      </w:pPr>
      <w:r>
        <w:rPr>
          <w:rFonts w:ascii="Arial" w:hAnsi="Arial" w:cs="Arial"/>
          <w:b/>
          <w:bCs/>
        </w:rPr>
        <w:t>El Secretario General de la honorable Cámara de Representantes,</w:t>
      </w:r>
    </w:p>
    <w:p w:rsidR="009273FC" w:rsidRDefault="009273FC" w:rsidP="009273FC">
      <w:pPr>
        <w:pStyle w:val="NormalWeb"/>
        <w:jc w:val="center"/>
        <w:rPr>
          <w:rFonts w:ascii="Arial" w:hAnsi="Arial" w:cs="Arial"/>
          <w:b/>
          <w:bCs/>
        </w:rPr>
      </w:pPr>
      <w:r>
        <w:rPr>
          <w:rFonts w:ascii="Arial" w:hAnsi="Arial" w:cs="Arial"/>
          <w:b/>
          <w:bCs/>
        </w:rPr>
        <w:t>Angelino Lizcano Rivera.</w:t>
      </w:r>
    </w:p>
    <w:p w:rsidR="009273FC" w:rsidRDefault="009273FC" w:rsidP="009273FC">
      <w:pPr>
        <w:pStyle w:val="NormalWeb"/>
        <w:jc w:val="center"/>
        <w:rPr>
          <w:rFonts w:ascii="Arial" w:hAnsi="Arial" w:cs="Arial"/>
          <w:b/>
          <w:bCs/>
        </w:rPr>
      </w:pPr>
      <w:r>
        <w:rPr>
          <w:rFonts w:ascii="Arial" w:hAnsi="Arial" w:cs="Arial"/>
          <w:b/>
          <w:bCs/>
        </w:rPr>
        <w:t>República de Colombia - Gobierno Nacional.</w:t>
      </w:r>
    </w:p>
    <w:p w:rsidR="009273FC" w:rsidRDefault="009273FC" w:rsidP="009273FC">
      <w:pPr>
        <w:pStyle w:val="NormalWeb"/>
        <w:jc w:val="center"/>
        <w:rPr>
          <w:rFonts w:ascii="Arial" w:hAnsi="Arial" w:cs="Arial"/>
          <w:b/>
          <w:bCs/>
        </w:rPr>
      </w:pPr>
      <w:r>
        <w:rPr>
          <w:rFonts w:ascii="Arial" w:hAnsi="Arial" w:cs="Arial"/>
          <w:b/>
          <w:bCs/>
        </w:rPr>
        <w:t>Publíquese y cúmplase,</w:t>
      </w:r>
    </w:p>
    <w:p w:rsidR="009273FC" w:rsidRDefault="009273FC" w:rsidP="009273FC">
      <w:pPr>
        <w:pStyle w:val="NormalWeb"/>
        <w:jc w:val="center"/>
        <w:rPr>
          <w:rFonts w:ascii="Arial" w:hAnsi="Arial" w:cs="Arial"/>
          <w:b/>
          <w:bCs/>
        </w:rPr>
      </w:pPr>
      <w:r>
        <w:rPr>
          <w:rFonts w:ascii="Arial" w:hAnsi="Arial" w:cs="Arial"/>
          <w:b/>
          <w:bCs/>
        </w:rPr>
        <w:t>Dado en Bogotá, D. C., a 29 de diciembre de 2005.</w:t>
      </w:r>
    </w:p>
    <w:p w:rsidR="009273FC" w:rsidRDefault="009273FC" w:rsidP="009273FC">
      <w:pPr>
        <w:pStyle w:val="NormalWeb"/>
        <w:jc w:val="center"/>
        <w:rPr>
          <w:rFonts w:ascii="Arial" w:hAnsi="Arial" w:cs="Arial"/>
          <w:b/>
          <w:bCs/>
        </w:rPr>
      </w:pPr>
      <w:r>
        <w:rPr>
          <w:rFonts w:ascii="Arial" w:hAnsi="Arial" w:cs="Arial"/>
          <w:b/>
          <w:bCs/>
        </w:rPr>
        <w:t>ÁLVARO URIBE VÉLEZ</w:t>
      </w:r>
    </w:p>
    <w:p w:rsidR="009273FC" w:rsidRDefault="009273FC" w:rsidP="009273FC">
      <w:pPr>
        <w:pStyle w:val="NormalWeb"/>
        <w:jc w:val="center"/>
        <w:rPr>
          <w:rFonts w:ascii="Arial" w:hAnsi="Arial" w:cs="Arial"/>
          <w:b/>
          <w:bCs/>
        </w:rPr>
      </w:pPr>
      <w:r>
        <w:rPr>
          <w:rFonts w:ascii="Arial" w:hAnsi="Arial" w:cs="Arial"/>
          <w:b/>
          <w:bCs/>
        </w:rPr>
        <w:t>El Ministerio del Interior y de Justicia,</w:t>
      </w:r>
    </w:p>
    <w:p w:rsidR="009273FC" w:rsidRDefault="009273FC" w:rsidP="009273FC">
      <w:pPr>
        <w:pStyle w:val="NormalWeb"/>
        <w:jc w:val="center"/>
        <w:rPr>
          <w:rFonts w:ascii="Arial" w:hAnsi="Arial" w:cs="Arial"/>
          <w:b/>
          <w:bCs/>
        </w:rPr>
      </w:pPr>
      <w:r>
        <w:rPr>
          <w:rFonts w:ascii="Arial" w:hAnsi="Arial" w:cs="Arial"/>
          <w:b/>
          <w:bCs/>
        </w:rPr>
        <w:t xml:space="preserve">Sabas </w:t>
      </w:r>
      <w:proofErr w:type="spellStart"/>
      <w:r>
        <w:rPr>
          <w:rFonts w:ascii="Arial" w:hAnsi="Arial" w:cs="Arial"/>
          <w:b/>
          <w:bCs/>
        </w:rPr>
        <w:t>Pretelt</w:t>
      </w:r>
      <w:proofErr w:type="spellEnd"/>
      <w:r>
        <w:rPr>
          <w:rFonts w:ascii="Arial" w:hAnsi="Arial" w:cs="Arial"/>
          <w:b/>
          <w:bCs/>
        </w:rPr>
        <w:t xml:space="preserve"> de la Vega.</w:t>
      </w:r>
    </w:p>
    <w:p w:rsidR="009273FC" w:rsidRDefault="009273FC" w:rsidP="009273FC">
      <w:pPr>
        <w:pStyle w:val="NormalWeb"/>
        <w:rPr>
          <w:rFonts w:ascii="Arial" w:hAnsi="Arial" w:cs="Arial"/>
          <w:b/>
          <w:bCs/>
        </w:rPr>
      </w:pPr>
      <w:r>
        <w:rPr>
          <w:rFonts w:ascii="Arial" w:hAnsi="Arial" w:cs="Arial"/>
          <w:b/>
          <w:bCs/>
        </w:rPr>
        <w:t>NOTA: Publicado en el Diario Oficial 46136 de diciembre 29 de 2005.</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E0651"/>
    <w:rsid w:val="00033CD0"/>
    <w:rsid w:val="00622087"/>
    <w:rsid w:val="007E0651"/>
    <w:rsid w:val="009273FC"/>
    <w:rsid w:val="00B221EC"/>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3FC"/>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273FC"/>
    <w:rPr>
      <w:color w:val="0000FF"/>
      <w:u w:val="single"/>
    </w:rPr>
  </w:style>
  <w:style w:type="paragraph" w:styleId="NormalWeb">
    <w:name w:val="Normal (Web)"/>
    <w:basedOn w:val="Normal"/>
    <w:uiPriority w:val="99"/>
    <w:semiHidden/>
    <w:unhideWhenUsed/>
    <w:rsid w:val="009273FC"/>
    <w:pPr>
      <w:spacing w:before="100" w:beforeAutospacing="1" w:after="100" w:afterAutospacing="1"/>
    </w:pPr>
  </w:style>
  <w:style w:type="character" w:styleId="Textoennegrita">
    <w:name w:val="Strong"/>
    <w:basedOn w:val="Fuentedeprrafopredeter"/>
    <w:uiPriority w:val="22"/>
    <w:qFormat/>
    <w:rsid w:val="009273FC"/>
    <w:rPr>
      <w:b/>
      <w:bCs/>
    </w:rPr>
  </w:style>
  <w:style w:type="paragraph" w:styleId="Textodeglobo">
    <w:name w:val="Balloon Text"/>
    <w:basedOn w:val="Normal"/>
    <w:link w:val="TextodegloboCar"/>
    <w:uiPriority w:val="99"/>
    <w:semiHidden/>
    <w:unhideWhenUsed/>
    <w:rsid w:val="009273FC"/>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3FC"/>
    <w:rPr>
      <w:rFonts w:ascii="Tahoma" w:eastAsia="Times New Roman" w:hAnsi="Tahoma" w:cs="Tahoma"/>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108622265">
      <w:bodyDiv w:val="1"/>
      <w:marLeft w:val="0"/>
      <w:marRight w:val="0"/>
      <w:marTop w:val="0"/>
      <w:marBottom w:val="0"/>
      <w:divBdr>
        <w:top w:val="none" w:sz="0" w:space="0" w:color="auto"/>
        <w:left w:val="none" w:sz="0" w:space="0" w:color="auto"/>
        <w:bottom w:val="none" w:sz="0" w:space="0" w:color="auto"/>
        <w:right w:val="none" w:sz="0" w:space="0" w:color="auto"/>
      </w:divBdr>
      <w:divsChild>
        <w:div w:id="1091269163">
          <w:marLeft w:val="0"/>
          <w:marRight w:val="0"/>
          <w:marTop w:val="0"/>
          <w:marBottom w:val="0"/>
          <w:divBdr>
            <w:top w:val="none" w:sz="0" w:space="0" w:color="auto"/>
            <w:left w:val="none" w:sz="0" w:space="0" w:color="auto"/>
            <w:bottom w:val="none" w:sz="0" w:space="0" w:color="auto"/>
            <w:right w:val="none" w:sz="0" w:space="0" w:color="auto"/>
          </w:divBdr>
          <w:divsChild>
            <w:div w:id="2051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4125"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2840</Characters>
  <Application>Microsoft Office Word</Application>
  <DocSecurity>0</DocSecurity>
  <Lines>23</Lines>
  <Paragraphs>6</Paragraphs>
  <ScaleCrop>false</ScaleCrop>
  <Company>Your Company Name</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2011-02-20T02:46:00Z</dcterms:created>
  <dcterms:modified xsi:type="dcterms:W3CDTF">2011-02-20T02:47:00Z</dcterms:modified>
</cp:coreProperties>
</file>