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F76" w:rsidRDefault="00F46F76" w:rsidP="00F46F76">
      <w:pPr>
        <w:pStyle w:val="NormalWeb"/>
        <w:ind w:right="29"/>
        <w:jc w:val="center"/>
        <w:rPr>
          <w:rFonts w:ascii="Georgia" w:hAnsi="Georgia"/>
        </w:rPr>
      </w:pPr>
      <w:r>
        <w:rPr>
          <w:rFonts w:ascii="Georgia" w:hAnsi="Georgia"/>
          <w:b/>
          <w:bCs/>
        </w:rPr>
        <w:t>Corte Constitucional</w:t>
      </w:r>
    </w:p>
    <w:p w:rsidR="00F46F76" w:rsidRDefault="00F46F76" w:rsidP="00F46F76">
      <w:pPr>
        <w:pStyle w:val="NormalWeb"/>
        <w:ind w:right="29"/>
        <w:jc w:val="center"/>
        <w:rPr>
          <w:rFonts w:ascii="Georgia" w:hAnsi="Georgia"/>
        </w:rPr>
      </w:pPr>
      <w:r>
        <w:rPr>
          <w:rFonts w:ascii="Georgia" w:hAnsi="Georgia"/>
        </w:rPr>
        <w:t> </w:t>
      </w:r>
    </w:p>
    <w:p w:rsidR="00F46F76" w:rsidRDefault="00F46F76" w:rsidP="00F46F76">
      <w:pPr>
        <w:pStyle w:val="NormalWeb"/>
        <w:ind w:right="29"/>
        <w:jc w:val="center"/>
        <w:rPr>
          <w:rFonts w:ascii="Georgia" w:hAnsi="Georgia"/>
        </w:rPr>
      </w:pPr>
      <w:r>
        <w:rPr>
          <w:rFonts w:ascii="Georgia" w:hAnsi="Georgia"/>
          <w:b/>
          <w:bCs/>
        </w:rPr>
        <w:t>Comunicado de Prensa No. 43 de 14 de octubre de 2009</w:t>
      </w:r>
    </w:p>
    <w:p w:rsidR="00F46F76" w:rsidRDefault="00F46F76" w:rsidP="00F46F76">
      <w:pPr>
        <w:pStyle w:val="NormalWeb"/>
        <w:ind w:right="29"/>
        <w:jc w:val="center"/>
        <w:rPr>
          <w:rFonts w:ascii="Georgia" w:hAnsi="Georgia"/>
        </w:rPr>
      </w:pPr>
      <w:r>
        <w:rPr>
          <w:rFonts w:ascii="Georgia" w:hAnsi="Georgia"/>
        </w:rPr>
        <w:t> </w:t>
      </w:r>
    </w:p>
    <w:p w:rsidR="00F46F76" w:rsidRDefault="00F46F76" w:rsidP="00F46F76">
      <w:pPr>
        <w:pStyle w:val="NormalWeb"/>
        <w:ind w:right="29"/>
        <w:jc w:val="center"/>
        <w:rPr>
          <w:rFonts w:ascii="Georgia" w:hAnsi="Georgia"/>
        </w:rPr>
      </w:pPr>
      <w:r>
        <w:rPr>
          <w:rFonts w:ascii="Georgia" w:hAnsi="Georgia"/>
        </w:rPr>
        <w:t>&lt;Disponible el 26 de octubre de 2009&gt;</w:t>
      </w:r>
    </w:p>
    <w:p w:rsidR="00F46F76" w:rsidRDefault="00F46F76" w:rsidP="00F46F76">
      <w:pPr>
        <w:pStyle w:val="NormalWeb"/>
        <w:spacing w:before="101" w:beforeAutospacing="0"/>
        <w:ind w:right="29"/>
        <w:jc w:val="both"/>
        <w:rPr>
          <w:rFonts w:ascii="Georgia" w:hAnsi="Georgia"/>
        </w:rPr>
      </w:pPr>
      <w:r>
        <w:rPr>
          <w:rFonts w:ascii="Georgia" w:hAnsi="Georgia"/>
        </w:rPr>
        <w:t> </w:t>
      </w:r>
      <w:r>
        <w:rPr>
          <w:rFonts w:ascii="Georgia" w:hAnsi="Georgia"/>
          <w:color w:val="000000"/>
        </w:rPr>
        <w:t xml:space="preserve"> </w:t>
      </w:r>
    </w:p>
    <w:p w:rsidR="00F46F76" w:rsidRDefault="00F46F76" w:rsidP="00F46F76">
      <w:pPr>
        <w:pStyle w:val="NormalWeb"/>
        <w:shd w:val="clear" w:color="auto" w:fill="99CC00"/>
        <w:spacing w:before="101" w:beforeAutospacing="0"/>
        <w:jc w:val="center"/>
        <w:rPr>
          <w:rFonts w:ascii="Georgia" w:hAnsi="Georgia"/>
        </w:rPr>
      </w:pPr>
      <w:r>
        <w:rPr>
          <w:rFonts w:ascii="Georgia" w:hAnsi="Georgia"/>
          <w:b/>
          <w:bCs/>
          <w:color w:val="000000"/>
          <w:sz w:val="22"/>
          <w:szCs w:val="22"/>
        </w:rPr>
        <w:t>3.        EXPEDIENTE D-7685        -          SENTENCIA C-728/09</w:t>
      </w:r>
    </w:p>
    <w:p w:rsidR="00F46F76" w:rsidRDefault="00F46F76" w:rsidP="00F46F76">
      <w:pPr>
        <w:pStyle w:val="NormalWeb"/>
        <w:shd w:val="clear" w:color="auto" w:fill="99CC00"/>
        <w:spacing w:before="101" w:beforeAutospacing="0"/>
        <w:jc w:val="center"/>
        <w:rPr>
          <w:rFonts w:ascii="Georgia" w:hAnsi="Georgia"/>
        </w:rPr>
      </w:pPr>
      <w:r>
        <w:rPr>
          <w:rFonts w:ascii="Georgia" w:hAnsi="Georgia"/>
          <w:b/>
          <w:bCs/>
          <w:color w:val="000000"/>
          <w:sz w:val="22"/>
          <w:szCs w:val="22"/>
        </w:rPr>
        <w:t xml:space="preserve">            </w:t>
      </w:r>
      <w:r>
        <w:rPr>
          <w:rFonts w:ascii="Georgia" w:hAnsi="Georgia"/>
          <w:color w:val="000000"/>
          <w:sz w:val="22"/>
          <w:szCs w:val="22"/>
        </w:rPr>
        <w:t>Magistrado ponente: Dr. Gabriel Eduardo Mendoza Martelo</w:t>
      </w:r>
    </w:p>
    <w:p w:rsidR="00F46F76" w:rsidRDefault="00F46F76" w:rsidP="00F46F76">
      <w:pPr>
        <w:pStyle w:val="NormalWeb"/>
        <w:spacing w:before="101" w:beforeAutospacing="0"/>
        <w:jc w:val="center"/>
        <w:rPr>
          <w:rFonts w:ascii="Georgia" w:hAnsi="Georgia"/>
        </w:rPr>
      </w:pPr>
      <w:r>
        <w:rPr>
          <w:rFonts w:ascii="Georgia" w:hAnsi="Georgia"/>
          <w:color w:val="000000"/>
          <w:sz w:val="22"/>
          <w:szCs w:val="22"/>
        </w:rPr>
        <w:t> </w:t>
      </w:r>
    </w:p>
    <w:p w:rsidR="00F46F76" w:rsidRDefault="00F46F76" w:rsidP="00F46F76">
      <w:pPr>
        <w:pStyle w:val="NormalWeb"/>
        <w:spacing w:before="101" w:beforeAutospacing="0"/>
        <w:jc w:val="center"/>
        <w:rPr>
          <w:rFonts w:ascii="Georgia" w:hAnsi="Georgia"/>
        </w:rPr>
      </w:pPr>
      <w:r>
        <w:rPr>
          <w:rFonts w:ascii="Georgia" w:hAnsi="Georgia"/>
          <w:b/>
          <w:bCs/>
          <w:color w:val="000000"/>
          <w:sz w:val="22"/>
          <w:szCs w:val="22"/>
        </w:rPr>
        <w:t>3.1.    Norma acusada</w:t>
      </w:r>
    </w:p>
    <w:p w:rsidR="00F46F76" w:rsidRDefault="00F46F76" w:rsidP="00F46F76">
      <w:pPr>
        <w:pStyle w:val="NormalWeb"/>
        <w:spacing w:before="101" w:beforeAutospacing="0"/>
        <w:jc w:val="center"/>
        <w:rPr>
          <w:rFonts w:ascii="Georgia" w:hAnsi="Georgia"/>
        </w:rPr>
      </w:pPr>
      <w:r>
        <w:rPr>
          <w:rFonts w:ascii="Georgia" w:hAnsi="Georgia"/>
          <w:b/>
          <w:bCs/>
          <w:color w:val="000000"/>
          <w:sz w:val="22"/>
          <w:szCs w:val="22"/>
        </w:rPr>
        <w:t>LEY 48 DE 1993</w:t>
      </w:r>
    </w:p>
    <w:p w:rsidR="00F46F76" w:rsidRDefault="00F46F76" w:rsidP="00F46F76">
      <w:pPr>
        <w:pStyle w:val="NormalWeb"/>
        <w:spacing w:before="101" w:beforeAutospacing="0"/>
        <w:jc w:val="center"/>
        <w:rPr>
          <w:rFonts w:ascii="Georgia" w:hAnsi="Georgia"/>
        </w:rPr>
      </w:pPr>
      <w:r>
        <w:rPr>
          <w:rFonts w:ascii="Georgia" w:hAnsi="Georgia"/>
          <w:b/>
          <w:bCs/>
          <w:color w:val="000000"/>
          <w:sz w:val="22"/>
          <w:szCs w:val="22"/>
        </w:rPr>
        <w:t>(</w:t>
      </w:r>
      <w:proofErr w:type="gramStart"/>
      <w:r>
        <w:rPr>
          <w:rFonts w:ascii="Georgia" w:hAnsi="Georgia"/>
          <w:b/>
          <w:bCs/>
          <w:color w:val="000000"/>
          <w:sz w:val="22"/>
          <w:szCs w:val="22"/>
        </w:rPr>
        <w:t>marzo</w:t>
      </w:r>
      <w:proofErr w:type="gramEnd"/>
      <w:r>
        <w:rPr>
          <w:rFonts w:ascii="Georgia" w:hAnsi="Georgia"/>
          <w:b/>
          <w:bCs/>
          <w:color w:val="000000"/>
          <w:sz w:val="22"/>
          <w:szCs w:val="22"/>
        </w:rPr>
        <w:t xml:space="preserve"> 3)</w:t>
      </w:r>
    </w:p>
    <w:p w:rsidR="00F46F76" w:rsidRDefault="00F46F76" w:rsidP="00F46F76">
      <w:pPr>
        <w:pStyle w:val="NormalWeb"/>
        <w:spacing w:before="101" w:beforeAutospacing="0"/>
        <w:jc w:val="center"/>
        <w:rPr>
          <w:rFonts w:ascii="Georgia" w:hAnsi="Georgia"/>
        </w:rPr>
      </w:pPr>
      <w:r>
        <w:rPr>
          <w:rFonts w:ascii="Georgia" w:hAnsi="Georgia"/>
          <w:i/>
          <w:iCs/>
          <w:color w:val="000000"/>
          <w:sz w:val="22"/>
          <w:szCs w:val="22"/>
        </w:rPr>
        <w:t>Por la cual se reglamenta el servicio de reclutamiento y movilización</w:t>
      </w:r>
    </w:p>
    <w:p w:rsidR="00F46F76" w:rsidRDefault="00F46F76" w:rsidP="00F46F76">
      <w:pPr>
        <w:pStyle w:val="NormalWeb"/>
        <w:spacing w:before="101" w:beforeAutospacing="0"/>
        <w:jc w:val="center"/>
        <w:rPr>
          <w:rFonts w:ascii="Georgia" w:hAnsi="Georgia"/>
        </w:rPr>
      </w:pPr>
      <w:r>
        <w:rPr>
          <w:rFonts w:ascii="Georgia" w:hAnsi="Georgia"/>
          <w:i/>
          <w:iCs/>
          <w:color w:val="000000"/>
          <w:sz w:val="22"/>
          <w:szCs w:val="22"/>
        </w:rPr>
        <w:t> </w:t>
      </w:r>
    </w:p>
    <w:p w:rsidR="00F46F76" w:rsidRDefault="00F46F76" w:rsidP="00F46F76">
      <w:pPr>
        <w:pStyle w:val="NormalWeb"/>
        <w:spacing w:before="101" w:beforeAutospacing="0"/>
        <w:jc w:val="both"/>
        <w:rPr>
          <w:rFonts w:ascii="Georgia" w:hAnsi="Georgia"/>
        </w:rPr>
      </w:pPr>
      <w:bookmarkStart w:id="0" w:name="27"/>
      <w:bookmarkEnd w:id="0"/>
      <w:r>
        <w:rPr>
          <w:rFonts w:ascii="Georgia" w:hAnsi="Georgia"/>
          <w:color w:val="000000"/>
          <w:sz w:val="22"/>
          <w:szCs w:val="22"/>
        </w:rPr>
        <w:t xml:space="preserve">ARTÍCULO 27. EXENCIONES EN TODO TIEMPO. Están exentos de prestar el servicio militar en todo tiempo y no pagan cuota de compensación militar: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a. Los limitados físicos y sensoriales permanentes.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b. Los indígenas que residan en su territorio y conserven su integridad cultural, social y económica.</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t>3.2.    Problema jurídico planteado</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Le corresponde a la Corte resolver, si el legislador al establecer en el artículo 27 dos hipótesis en las que se está exento de prestar el servicio militar en todo tiempo, incurrió en una omisión legislativa relativa contraria a la igualdad (art. 13 C.P.), la libertad de conciencia (art. 18 C.P.) y a la libertad de cultos (art. 19 C.P.), por no incluir a los objetores de conciencia. </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t>3.3.    Decisión</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t>Primero.</w:t>
      </w:r>
      <w:r>
        <w:rPr>
          <w:rFonts w:ascii="Georgia" w:hAnsi="Georgia"/>
          <w:color w:val="000000"/>
          <w:sz w:val="22"/>
          <w:szCs w:val="22"/>
        </w:rPr>
        <w:t xml:space="preserve"> - Declarar </w:t>
      </w:r>
      <w:r>
        <w:rPr>
          <w:rFonts w:ascii="Georgia" w:hAnsi="Georgia"/>
          <w:b/>
          <w:bCs/>
          <w:color w:val="000000"/>
          <w:sz w:val="22"/>
          <w:szCs w:val="22"/>
        </w:rPr>
        <w:t xml:space="preserve">EXEQUIBLE, </w:t>
      </w:r>
      <w:r>
        <w:rPr>
          <w:rFonts w:ascii="Georgia" w:hAnsi="Georgia"/>
          <w:color w:val="000000"/>
          <w:sz w:val="22"/>
          <w:szCs w:val="22"/>
        </w:rPr>
        <w:t>por el cargo analizado, el artículo 27 de la Ley 48 de 1993.</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lastRenderedPageBreak/>
        <w:t xml:space="preserve">Segundo. - </w:t>
      </w:r>
      <w:r>
        <w:rPr>
          <w:rFonts w:ascii="Georgia" w:hAnsi="Georgia"/>
          <w:color w:val="000000"/>
          <w:sz w:val="22"/>
          <w:szCs w:val="22"/>
        </w:rPr>
        <w:t>Exhortar al Congreso de la República para que, a la luz de las consideraciones de esta providencia, regule lo concerniente a la objeción de conciencia frente al servicio militar.</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t xml:space="preserve">3.4.    Fundamentos de la decisión </w:t>
      </w:r>
      <w:r>
        <w:rPr>
          <w:rFonts w:ascii="Georgia" w:hAnsi="Georgia"/>
          <w:color w:val="000000"/>
          <w:sz w:val="22"/>
          <w:szCs w:val="22"/>
        </w:rPr>
        <w:t>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La Corte decidió declarar la </w:t>
      </w:r>
      <w:proofErr w:type="spellStart"/>
      <w:r>
        <w:rPr>
          <w:rFonts w:ascii="Georgia" w:hAnsi="Georgia"/>
          <w:color w:val="000000"/>
          <w:sz w:val="22"/>
          <w:szCs w:val="22"/>
        </w:rPr>
        <w:t>exequibilidad</w:t>
      </w:r>
      <w:proofErr w:type="spellEnd"/>
      <w:r>
        <w:rPr>
          <w:rFonts w:ascii="Georgia" w:hAnsi="Georgia"/>
          <w:color w:val="000000"/>
          <w:sz w:val="22"/>
          <w:szCs w:val="22"/>
        </w:rPr>
        <w:t xml:space="preserve"> del artículo 27 de la Ley 48 de 1993, fundamentada en que contrario a lo afirmado en la demanda, de la norma acusada no cabe predicar la configuración de una </w:t>
      </w:r>
      <w:proofErr w:type="spellStart"/>
      <w:r>
        <w:rPr>
          <w:rFonts w:ascii="Georgia" w:hAnsi="Georgia"/>
          <w:color w:val="000000"/>
          <w:sz w:val="22"/>
          <w:szCs w:val="22"/>
        </w:rPr>
        <w:t>omisión</w:t>
      </w:r>
      <w:proofErr w:type="spellEnd"/>
      <w:r>
        <w:rPr>
          <w:rFonts w:ascii="Georgia" w:hAnsi="Georgia"/>
          <w:color w:val="000000"/>
          <w:sz w:val="22"/>
          <w:szCs w:val="22"/>
        </w:rPr>
        <w:t xml:space="preserve"> legislativa relativa, por cuanto allí se regulan unas exenciones a la prestación del servicio militar bajo unos presupuestos que no son predicables de los eventuales objetores de conciencia. Existen evidentes diferencias entre los sujetos a los que se refiere la norma y estos últimos, que impiden asimilarlos.  La exención alude a circunstancias objetivas presentes en los allí mencionados grupos de personas, en razón de las cuales no existe para ellos la obligación de prestar el servicio militar.  La objeción de conciencia alude a consideraciones subjetivas, por las cuales una persona se opone a prestar el servicio al que está obligado, por razones de conciencia. Se trata de dos situaciones diferentes que no tenían que haber sido reguladas en la misma norma. En ese caso, en relación con esa norma, podría predicarse la existencia de una </w:t>
      </w:r>
      <w:proofErr w:type="spellStart"/>
      <w:r>
        <w:rPr>
          <w:rFonts w:ascii="Georgia" w:hAnsi="Georgia"/>
          <w:color w:val="000000"/>
          <w:sz w:val="22"/>
          <w:szCs w:val="22"/>
        </w:rPr>
        <w:t>omisión</w:t>
      </w:r>
      <w:proofErr w:type="spellEnd"/>
      <w:r>
        <w:rPr>
          <w:rFonts w:ascii="Georgia" w:hAnsi="Georgia"/>
          <w:color w:val="000000"/>
          <w:sz w:val="22"/>
          <w:szCs w:val="22"/>
        </w:rPr>
        <w:t xml:space="preserve"> legislativa relativa.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A juicio de la Corte, no hay omisión relativa, porque la omisión pretendida por los actores no se predica de la disposición demandada. Además,  la omisión alegada podía predicarse de diversos artículos de la mencionada ley, indeterminación que obra en contravía de la procedencia del mencionado fenómeno,  el cual exige plena certidumbre de que la norma demandada sea precisamente la que debe  incluir en sus regulaciones una prescripción que desarrolle el imperativo constitucional del derecho a la objeción de conciencia. La decisión adoptada tuvo en cuenta, además, que, en principio, la regulación de los derechos fundamentales, como es el caso de la objeción de conciencia, en cuanto se oriente a desarrollar de manera específica y completa el derecho, e incluya los procedimientos y recursos para su protección, debe hacerse mediante ley estatutaria, siendo, una ley de esa naturaleza,  la llamada a regular el citado derecho. Tal situación lleva a concluir que la omisión sería absoluta lo cual conduce, a su vez, ante la necesidad de que se regule el derecho fundamental en cuestión, como también lo sugieren instrumentos internacionales, a que se exhorte al Congreso de la República para que expida la correspondiente normativa.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No obstante desechar la alegada omisión legislativa relativa, la Corte consideró que,  atendiendo la naturaleza fundamental del derecho de objeción de conciencia, de aplicación inmediata, ésta podía hacerse valer mediante el ejercicio de la acción de tutela,  aún frente al deber de prestar el servicio militar obligatorio, sobre la base de la demostración de circunstancias excepcionalmente extremas que así lo justifiquen, indicativas de la imposibilidad irreductible que surge para el objetor de acometer algunas de las actividades inherentes al cumplimiento de dicho deber, por resultar abiertamente incompatibles con las comprobadas, serias y reales razones de conciencia que aduzcan, aspecto en relación con el cual la Corte decidió variar la jurisprudencia existente sobre el particular, opuesta a dicha postura.</w:t>
      </w:r>
    </w:p>
    <w:p w:rsidR="00F46F76" w:rsidRDefault="00F46F76" w:rsidP="00F46F76">
      <w:pPr>
        <w:pStyle w:val="NormalWeb"/>
        <w:spacing w:before="101" w:beforeAutospacing="0"/>
        <w:jc w:val="center"/>
        <w:rPr>
          <w:rFonts w:ascii="Georgia" w:hAnsi="Georgia"/>
        </w:rPr>
      </w:pPr>
      <w:r>
        <w:rPr>
          <w:rFonts w:ascii="Georgia" w:hAnsi="Georgia"/>
          <w:b/>
          <w:bCs/>
          <w:color w:val="000000"/>
          <w:sz w:val="22"/>
          <w:szCs w:val="22"/>
        </w:rPr>
        <w:t> </w:t>
      </w:r>
    </w:p>
    <w:p w:rsidR="00F46F76" w:rsidRDefault="00F46F76" w:rsidP="00F46F76">
      <w:pPr>
        <w:pStyle w:val="NormalWeb"/>
        <w:spacing w:before="101" w:beforeAutospacing="0"/>
        <w:jc w:val="both"/>
        <w:rPr>
          <w:rFonts w:ascii="Georgia" w:hAnsi="Georgia"/>
        </w:rPr>
      </w:pPr>
      <w:r>
        <w:rPr>
          <w:rFonts w:ascii="Georgia" w:hAnsi="Georgia"/>
          <w:b/>
          <w:bCs/>
          <w:color w:val="000000"/>
          <w:sz w:val="22"/>
          <w:szCs w:val="22"/>
        </w:rPr>
        <w:t xml:space="preserve">3.5.    </w:t>
      </w:r>
      <w:r>
        <w:rPr>
          <w:rFonts w:ascii="Georgia" w:hAnsi="Georgia"/>
          <w:color w:val="000000"/>
          <w:sz w:val="22"/>
          <w:szCs w:val="22"/>
        </w:rPr>
        <w:t xml:space="preserve">Los magistrados MARIA VICTORIA CALLE CORREA, JUAN CARLOS HENAO PÉREZ, JORGE IVÁN PALACIO </w:t>
      </w:r>
      <w:proofErr w:type="spellStart"/>
      <w:r>
        <w:rPr>
          <w:rFonts w:ascii="Georgia" w:hAnsi="Georgia"/>
          <w:color w:val="000000"/>
          <w:sz w:val="22"/>
          <w:szCs w:val="22"/>
        </w:rPr>
        <w:t>PALACIO</w:t>
      </w:r>
      <w:proofErr w:type="spellEnd"/>
      <w:r>
        <w:rPr>
          <w:rFonts w:ascii="Georgia" w:hAnsi="Georgia"/>
          <w:color w:val="000000"/>
          <w:sz w:val="22"/>
          <w:szCs w:val="22"/>
        </w:rPr>
        <w:t xml:space="preserve"> y LUIS ERNESTO VARGAS SILVA manifestaron su </w:t>
      </w:r>
      <w:r>
        <w:rPr>
          <w:rFonts w:ascii="Georgia" w:hAnsi="Georgia"/>
          <w:b/>
          <w:bCs/>
          <w:color w:val="000000"/>
          <w:sz w:val="22"/>
          <w:szCs w:val="22"/>
        </w:rPr>
        <w:t xml:space="preserve">salvamento de voto </w:t>
      </w:r>
      <w:r>
        <w:rPr>
          <w:rFonts w:ascii="Georgia" w:hAnsi="Georgia"/>
          <w:color w:val="000000"/>
          <w:sz w:val="22"/>
          <w:szCs w:val="22"/>
        </w:rPr>
        <w:t xml:space="preserve">en relación con la decisión de </w:t>
      </w:r>
      <w:proofErr w:type="spellStart"/>
      <w:r>
        <w:rPr>
          <w:rFonts w:ascii="Georgia" w:hAnsi="Georgia"/>
          <w:color w:val="000000"/>
          <w:sz w:val="22"/>
          <w:szCs w:val="22"/>
        </w:rPr>
        <w:t>exequibilidad</w:t>
      </w:r>
      <w:proofErr w:type="spellEnd"/>
      <w:r>
        <w:rPr>
          <w:rFonts w:ascii="Georgia" w:hAnsi="Georgia"/>
          <w:color w:val="000000"/>
          <w:sz w:val="22"/>
          <w:szCs w:val="22"/>
        </w:rPr>
        <w:t xml:space="preserve"> adoptada en esta sentencia. </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lastRenderedPageBreak/>
        <w:t xml:space="preserve">Los magistrados CALLE CORREA, HENAO PEREZ y PALACIO </w:t>
      </w:r>
      <w:proofErr w:type="spellStart"/>
      <w:r>
        <w:rPr>
          <w:rFonts w:ascii="Georgia" w:hAnsi="Georgia"/>
          <w:color w:val="000000"/>
          <w:sz w:val="22"/>
          <w:szCs w:val="22"/>
        </w:rPr>
        <w:t>PALACIO</w:t>
      </w:r>
      <w:proofErr w:type="spellEnd"/>
      <w:r>
        <w:rPr>
          <w:rFonts w:ascii="Georgia" w:hAnsi="Georgia"/>
          <w:color w:val="000000"/>
          <w:sz w:val="22"/>
          <w:szCs w:val="22"/>
        </w:rPr>
        <w:t>, si bien comparten plenamente la existencia de la objeción de conciencia en el contexto del servicio militar obligatorio en el orden constitucional vigente, tal como lo señala la mayoría de la Sala Plena en su decisión, se apartan de ésta, en cuanto también se decide que el legislador no incurrió en una omisión legislativa relativa. En consecuencia, consideran que la Corte debió declarar exequible la norma pero condicionando su constitucionalidad en el entendido de que la exención al servicio militar obligatorio también se aplica, íntegramente, a aquellas personas para las cuales prestar ese servicio supone actuar en contra de sus convicciones o creencias propias, profundas, fijas y sinceras.</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En su concepto, la razón por la que se exime en todo tiempo del servicio militar obligatorio a los grupos de personas que, como los indígenas o las personas con limitaciones, selecciona la norma, es que en uno y otro caso para estas personas la prestación del servicio es incompatible con el libre desarrollo de sus vidas e identidades -por pertenecer a una cultura diferente o por tener una condición física o mental especial- y por tanto, son objeto de protección constitucional, en calidad de derechos. A su juicio, estos grupos son asimilables con el de las personas para las cuales prestar el servicio militar obligatorio implica actuar en contra de su conciencia o de sus creencias religiosas, cuando éstas son tan profundas, fijas, sinceras y determinan su obrar externo como, por ejemplo, las creencias y las convicciones propias de un indígena que hace parte de su comunidad. Las personas para la cuales prestar servicio militar obligatorio implica actuar en contra de su libertad de conciencia o de su libertad religiosa, sí son comparables a los grupos de personas contemplados en el artículo 27 de la Ley 48 de 1993. De hecho, en algunos aspectos, los grupos de objetores de conciencia son más afines a los dos grupos contemplados en dicha disposición legal (los indígenas que conservan su identidad y los limitados físicos y sensoriales permanentes) que éstos dos grupos entre sí. Para los magistrados que salvan su voto es claro que sí existe un derecho de objeción de conciencia, y existe a la vez el deber legal de regular las exenciones al servicio militar obligatorio, de manera que el no haber incluido a los objetores como un caso previsto en la Ley de reclutamiento, es una clara omisión legislativa relativa. La omisión se hace evidente en el reconocimiento que hace la Sala Plena  (i) de la necesidad de que el legislador regule la cuestión, y (</w:t>
      </w:r>
      <w:proofErr w:type="spellStart"/>
      <w:r>
        <w:rPr>
          <w:rFonts w:ascii="Georgia" w:hAnsi="Georgia"/>
          <w:color w:val="000000"/>
          <w:sz w:val="22"/>
          <w:szCs w:val="22"/>
        </w:rPr>
        <w:t>ii</w:t>
      </w:r>
      <w:proofErr w:type="spellEnd"/>
      <w:r>
        <w:rPr>
          <w:rFonts w:ascii="Georgia" w:hAnsi="Georgia"/>
          <w:color w:val="000000"/>
          <w:sz w:val="22"/>
          <w:szCs w:val="22"/>
        </w:rPr>
        <w:t>) de que al hacerlo, lo haga a la luz de lo establecido por la sentencia.</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Por su parte, el magistrado VARGAS SILVA consideró que la Corte debió declarar la </w:t>
      </w:r>
      <w:proofErr w:type="spellStart"/>
      <w:r>
        <w:rPr>
          <w:rFonts w:ascii="Georgia" w:hAnsi="Georgia"/>
          <w:color w:val="000000"/>
          <w:sz w:val="22"/>
          <w:szCs w:val="22"/>
        </w:rPr>
        <w:t>exequibilidad</w:t>
      </w:r>
      <w:proofErr w:type="spellEnd"/>
      <w:r>
        <w:rPr>
          <w:rFonts w:ascii="Georgia" w:hAnsi="Georgia"/>
          <w:color w:val="000000"/>
          <w:sz w:val="22"/>
          <w:szCs w:val="22"/>
        </w:rPr>
        <w:t xml:space="preserve"> condicionada de la norma acusada, para corregir la omisión en que incurrió el legislador al excluir a los objetores de conciencia de la prestación del  servicio militar obligatorio cuando estableció  los grupos exentos, en todo tiempo, de pertenecer a la milicia. En su criterio, no existe ninguna razón constitucional que justifique dar a este grupo de personas un trato diferente al que se prodiga a limitados físicos y sensoriales permanentes, y a los  indígenas que conserven su identidad </w:t>
      </w:r>
      <w:proofErr w:type="spellStart"/>
      <w:r>
        <w:rPr>
          <w:rFonts w:ascii="Georgia" w:hAnsi="Georgia"/>
          <w:color w:val="000000"/>
          <w:sz w:val="22"/>
          <w:szCs w:val="22"/>
        </w:rPr>
        <w:t>etnocultural</w:t>
      </w:r>
      <w:proofErr w:type="spellEnd"/>
      <w:r>
        <w:rPr>
          <w:rFonts w:ascii="Georgia" w:hAnsi="Georgia"/>
          <w:color w:val="000000"/>
          <w:sz w:val="22"/>
          <w:szCs w:val="22"/>
        </w:rPr>
        <w:t>.  Los individuos para los cuales prestar el servicio militar obligatorio implica actuar en contra de su conciencia o de sus creencias religiosas, se enfrentan a una incompatibilidad tan manifiesta y atendible como aquella que el legislador reconoce a aquellos.</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Para el magistrado VARGAS SILVA, la evidencia de que la sociedad colombiana se encuentra preparada y reclama de su orden jurídico el reconocimiento de la objeción de conciencia al servicio militar obligatorio como un derecho fundamental justiciable, se deduce palmariamente del concepto de su representante –el Procurador General de la Nación - y de la intervención de más de 400 organizaciones integrantes de  la sociedad civil, que al unísono solicitaron ante este Tribunal una decisión que posibilitara el ejercicio de esta expresión de la libertad de conciencia, mediante una sentencia condicionada que integrara a los objetores y les asignara una forma distinta de prestar </w:t>
      </w:r>
      <w:r>
        <w:rPr>
          <w:rFonts w:ascii="Georgia" w:hAnsi="Georgia"/>
          <w:color w:val="000000"/>
          <w:sz w:val="22"/>
          <w:szCs w:val="22"/>
        </w:rPr>
        <w:lastRenderedPageBreak/>
        <w:t xml:space="preserve">el servicio militar en trabajos sociales, educativos, comunitarios. Empero, la mayoría atendió a la única entidad que pidió la </w:t>
      </w:r>
      <w:proofErr w:type="spellStart"/>
      <w:r>
        <w:rPr>
          <w:rFonts w:ascii="Georgia" w:hAnsi="Georgia"/>
          <w:color w:val="000000"/>
          <w:sz w:val="22"/>
          <w:szCs w:val="22"/>
        </w:rPr>
        <w:t>exequibilidad</w:t>
      </w:r>
      <w:proofErr w:type="spellEnd"/>
      <w:r>
        <w:rPr>
          <w:rFonts w:ascii="Georgia" w:hAnsi="Georgia"/>
          <w:color w:val="000000"/>
          <w:sz w:val="22"/>
          <w:szCs w:val="22"/>
        </w:rPr>
        <w:t xml:space="preserve"> del precepto.</w:t>
      </w:r>
    </w:p>
    <w:p w:rsidR="00F46F76" w:rsidRDefault="00F46F76" w:rsidP="00F46F76">
      <w:pPr>
        <w:pStyle w:val="NormalWeb"/>
        <w:spacing w:before="101" w:beforeAutospacing="0"/>
        <w:jc w:val="both"/>
        <w:rPr>
          <w:rFonts w:ascii="Georgia" w:hAnsi="Georgia"/>
        </w:rPr>
      </w:pPr>
      <w:r>
        <w:rPr>
          <w:rFonts w:ascii="Georgia" w:hAnsi="Georgia"/>
          <w:color w:val="000000"/>
          <w:sz w:val="22"/>
          <w:szCs w:val="22"/>
        </w:rPr>
        <w:t xml:space="preserve">No obstante el sentido del fallo, el magistrado VARGAS SILVA reconoció el avance significativo logrado, dado que la decisión mayoritaria introduce una rectificación jurisprudencial que abre la posibilidad jurídica para que, a partir de ahora los objetores de conciencia obtengan protección constitucional en los casos concretos, por la vía de la acción de tutela. El cambio de jurisprudencia quedará pues como parte de la </w:t>
      </w:r>
      <w:r>
        <w:rPr>
          <w:rFonts w:ascii="Georgia" w:hAnsi="Georgia"/>
          <w:i/>
          <w:iCs/>
          <w:color w:val="000000"/>
          <w:sz w:val="22"/>
          <w:szCs w:val="22"/>
        </w:rPr>
        <w:t xml:space="preserve">ratio </w:t>
      </w:r>
      <w:proofErr w:type="spellStart"/>
      <w:r>
        <w:rPr>
          <w:rFonts w:ascii="Georgia" w:hAnsi="Georgia"/>
          <w:i/>
          <w:iCs/>
          <w:color w:val="000000"/>
          <w:sz w:val="22"/>
          <w:szCs w:val="22"/>
        </w:rPr>
        <w:t>decidendi</w:t>
      </w:r>
      <w:proofErr w:type="spellEnd"/>
      <w:r>
        <w:rPr>
          <w:rFonts w:ascii="Georgia" w:hAnsi="Georgia"/>
          <w:color w:val="000000"/>
          <w:sz w:val="22"/>
          <w:szCs w:val="22"/>
        </w:rPr>
        <w:t xml:space="preserve"> vinculante para el Juez constitucional respectivo, atendiendo las particularidades propias de cada caso.</w:t>
      </w:r>
    </w:p>
    <w:p w:rsidR="00033CD0" w:rsidRDefault="008C6043">
      <w:r w:rsidRPr="008C6043">
        <w:t>http://www.secretariasenado.gov.co/senado/basedoc/cc_sc_nf/2009/c-728_2009.html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41F62"/>
    <w:rsid w:val="00033CD0"/>
    <w:rsid w:val="00241F62"/>
    <w:rsid w:val="00622087"/>
    <w:rsid w:val="00732A77"/>
    <w:rsid w:val="008C6043"/>
    <w:rsid w:val="00D54394"/>
    <w:rsid w:val="00F46F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6F76"/>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1515</Words>
  <Characters>8335</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2010-08-05T22:14:00Z</dcterms:created>
  <dcterms:modified xsi:type="dcterms:W3CDTF">2010-08-05T22:16:00Z</dcterms:modified>
</cp:coreProperties>
</file>