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ACB" w:rsidRDefault="006F6234" w:rsidP="00117ACB">
      <w:pPr>
        <w:rPr>
          <w:sz w:val="20"/>
          <w:szCs w:val="20"/>
        </w:rPr>
      </w:pPr>
      <w:r w:rsidRPr="006F6234">
        <w:rPr>
          <w:sz w:val="20"/>
          <w:szCs w:val="20"/>
        </w:rPr>
        <w:pict>
          <v:rect id="_x0000_i1025" style="width:0;height:1.5pt" o:hralign="center" o:hrstd="t" o:hr="t" fillcolor="#9d9da1" stroked="f"/>
        </w:pict>
      </w:r>
    </w:p>
    <w:p w:rsidR="00117ACB" w:rsidRDefault="00117ACB" w:rsidP="00117ACB">
      <w:pPr>
        <w:ind w:right="51"/>
        <w:jc w:val="both"/>
      </w:pPr>
      <w:r>
        <w:rPr>
          <w:rFonts w:ascii="Times New Roman" w:hAnsi="Times New Roman" w:cs="Times New Roman"/>
          <w:b/>
          <w:bCs/>
          <w:sz w:val="28"/>
          <w:szCs w:val="28"/>
          <w:lang w:val="es-CO"/>
        </w:rPr>
        <w:t>Sentencia No. T-254/94</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left="567" w:right="51"/>
        <w:jc w:val="both"/>
      </w:pPr>
      <w:r>
        <w:rPr>
          <w:rFonts w:ascii="Times New Roman" w:hAnsi="Times New Roman" w:cs="Times New Roman"/>
          <w:b/>
          <w:bCs/>
          <w:sz w:val="28"/>
          <w:szCs w:val="28"/>
          <w:lang w:val="es-CO"/>
        </w:rPr>
        <w:t>COMUNIDAD INDIGENA</w:t>
      </w:r>
      <w:r>
        <w:rPr>
          <w:rFonts w:ascii="Times New Roman" w:hAnsi="Times New Roman" w:cs="Times New Roman"/>
          <w:sz w:val="28"/>
          <w:szCs w:val="28"/>
          <w:lang w:val="es-CO"/>
        </w:rPr>
        <w:t>-Naturaleza</w:t>
      </w:r>
      <w:r>
        <w:rPr>
          <w:rFonts w:ascii="Times New Roman" w:hAnsi="Times New Roman" w:cs="Times New Roman"/>
          <w:b/>
          <w:bCs/>
          <w:sz w:val="28"/>
          <w:szCs w:val="28"/>
          <w:lang w:val="es-CO"/>
        </w:rPr>
        <w:t>/INDEFENSION FRENTE A COMUNIDADES INDIGENAS</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i/>
          <w:iCs/>
          <w:sz w:val="28"/>
          <w:szCs w:val="28"/>
          <w:lang w:val="es-CO"/>
        </w:rPr>
        <w:t xml:space="preserve">Las comunidades indígenas son verdaderas organizaciones, sujetos de derechos y obligaciones, que, por medio de sus autoridades, ejercen poder sobre los miembros que las integran hasta el extremo de adoptar su propia modalidad de gobierno y de ejercer control social. Respecto de las decisiones de la comunidad que afectan a uno de sus integrantes, no existen medios de defensa judicial. En consecuencia, el </w:t>
      </w:r>
      <w:proofErr w:type="spellStart"/>
      <w:r>
        <w:rPr>
          <w:rFonts w:ascii="Times New Roman" w:hAnsi="Times New Roman" w:cs="Times New Roman"/>
          <w:i/>
          <w:iCs/>
          <w:sz w:val="28"/>
          <w:szCs w:val="28"/>
          <w:lang w:val="es-CO"/>
        </w:rPr>
        <w:t>petente</w:t>
      </w:r>
      <w:proofErr w:type="spellEnd"/>
      <w:r>
        <w:rPr>
          <w:rFonts w:ascii="Times New Roman" w:hAnsi="Times New Roman" w:cs="Times New Roman"/>
          <w:i/>
          <w:iCs/>
          <w:sz w:val="28"/>
          <w:szCs w:val="28"/>
          <w:lang w:val="es-CO"/>
        </w:rPr>
        <w:t xml:space="preserve"> se encuentra en situación de indefensión respecto de una organización privada, la comunidad indígena, razón por la que está constitucional y legalmente habilitado para ejercer la acción de tutela en defensa de sus derechos fundamentales.</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left="567" w:right="51"/>
        <w:jc w:val="both"/>
      </w:pPr>
      <w:r>
        <w:rPr>
          <w:rFonts w:ascii="Times New Roman" w:hAnsi="Times New Roman" w:cs="Times New Roman"/>
          <w:b/>
          <w:bCs/>
          <w:sz w:val="28"/>
          <w:szCs w:val="28"/>
          <w:lang w:val="es-CO"/>
        </w:rPr>
        <w:t>COMUNIDAD INDIGENA</w:t>
      </w:r>
      <w:r>
        <w:rPr>
          <w:rFonts w:ascii="Times New Roman" w:hAnsi="Times New Roman" w:cs="Times New Roman"/>
          <w:sz w:val="28"/>
          <w:szCs w:val="28"/>
          <w:lang w:val="es-CO"/>
        </w:rPr>
        <w:t>-Autonomía Política y jurídica</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i/>
          <w:iCs/>
          <w:sz w:val="28"/>
          <w:szCs w:val="28"/>
          <w:lang w:val="es-CO"/>
        </w:rPr>
        <w:t>La autonomía política y jurídica reconocida a las comunidades indígenas por el constituyente, por su parte, debe ejercerse dentro de los estrictos parámetros señalados por el mismo texto constitucional: de conformidad con sus usos y costumbres, siempre y cuando no sean contrarios a la Constitución y a la ley, de forma que se asegure la unidad nacional.</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left="567" w:right="51"/>
        <w:jc w:val="both"/>
      </w:pPr>
      <w:r>
        <w:rPr>
          <w:rFonts w:ascii="Times New Roman" w:hAnsi="Times New Roman" w:cs="Times New Roman"/>
          <w:b/>
          <w:bCs/>
          <w:sz w:val="28"/>
          <w:szCs w:val="28"/>
          <w:lang w:val="es-CO"/>
        </w:rPr>
        <w:t>JURISDICCION INDIGENA</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i/>
          <w:iCs/>
          <w:sz w:val="28"/>
          <w:szCs w:val="28"/>
          <w:lang w:val="es-CO"/>
        </w:rPr>
        <w:t>La atribución constitucional de ejercer funciones jurisdiccionales dentro de su ámbito territorial,  reconocida a las autoridades indígenas, de conformidad con sus propias normas y procedimientos, está supeditada a la condición de que éstos y aquellas no sean contrarios a la Constitución y a la ley. Las diferencias conceptuales y los conflictos valorativos que puedan presentarse en la aplicación práctica de órdenes jurídicos diversos, deben ser superados respetando mínimamente las siguientes reglas de interpretación: 1. A mayor conservación de sus usos y costumbres, mayor autonomía. 2. Los derechos fundamentales constitucionales constituyen el mínimo obligatorio de convivencia para todos los particulares. 3. Las normas legales imperativas (de orden público) de la República priman sobre los usos y costumbres de las comunidades indígenas, siempre y cuando protejan directamente un valor constitucional superior al principio de diversidad étnica y cultural.</w:t>
      </w:r>
      <w:r>
        <w:rPr>
          <w:rFonts w:ascii="Times New Roman" w:hAnsi="Times New Roman" w:cs="Times New Roman"/>
          <w:b/>
          <w:bCs/>
          <w:i/>
          <w:iCs/>
          <w:sz w:val="28"/>
          <w:szCs w:val="28"/>
          <w:lang w:val="es-CO"/>
        </w:rPr>
        <w:t xml:space="preserve"> </w:t>
      </w:r>
      <w:r>
        <w:rPr>
          <w:rFonts w:ascii="Times New Roman" w:hAnsi="Times New Roman" w:cs="Times New Roman"/>
          <w:i/>
          <w:iCs/>
          <w:sz w:val="28"/>
          <w:szCs w:val="28"/>
          <w:lang w:val="es-CO"/>
        </w:rPr>
        <w:t xml:space="preserve">4. Los </w:t>
      </w:r>
      <w:r>
        <w:rPr>
          <w:rFonts w:ascii="Times New Roman" w:hAnsi="Times New Roman" w:cs="Times New Roman"/>
          <w:i/>
          <w:iCs/>
          <w:sz w:val="28"/>
          <w:szCs w:val="28"/>
          <w:lang w:val="es-CO"/>
        </w:rPr>
        <w:lastRenderedPageBreak/>
        <w:t>usos y costumbres de una comunidad indígena priman sobre las normas legales dispositivas.</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left="567" w:right="51"/>
        <w:jc w:val="both"/>
      </w:pPr>
      <w:r>
        <w:rPr>
          <w:rFonts w:ascii="Times New Roman" w:hAnsi="Times New Roman" w:cs="Times New Roman"/>
          <w:b/>
          <w:bCs/>
          <w:sz w:val="28"/>
          <w:szCs w:val="28"/>
          <w:lang w:val="es-CO"/>
        </w:rPr>
        <w:t>JURISDICCION INDIGENA</w:t>
      </w:r>
      <w:r>
        <w:rPr>
          <w:rFonts w:ascii="Times New Roman" w:hAnsi="Times New Roman" w:cs="Times New Roman"/>
          <w:sz w:val="28"/>
          <w:szCs w:val="28"/>
          <w:lang w:val="es-CO"/>
        </w:rPr>
        <w:t>-</w:t>
      </w:r>
      <w:proofErr w:type="spellStart"/>
      <w:r>
        <w:rPr>
          <w:rFonts w:ascii="Times New Roman" w:hAnsi="Times New Roman" w:cs="Times New Roman"/>
          <w:sz w:val="28"/>
          <w:szCs w:val="28"/>
          <w:lang w:val="es-CO"/>
        </w:rPr>
        <w:t>Ambito</w:t>
      </w:r>
      <w:proofErr w:type="spellEnd"/>
      <w:r>
        <w:rPr>
          <w:rFonts w:ascii="Times New Roman" w:hAnsi="Times New Roman" w:cs="Times New Roman"/>
          <w:sz w:val="28"/>
          <w:szCs w:val="28"/>
          <w:lang w:val="es-CO"/>
        </w:rPr>
        <w:t xml:space="preserve"> Territorial</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i/>
          <w:iCs/>
          <w:sz w:val="28"/>
          <w:szCs w:val="28"/>
          <w:lang w:val="es-CO"/>
        </w:rPr>
        <w:t xml:space="preserve">La Constitución autoriza a las autoridades de los pueblos indígenas el ejercicio de funciones jurisdiccionales dentro de su ámbito territorial, de conformidad con sus propias normas y procedimientos, siempre y cuando no sean contrarios a la constitución y a la ley. No obstante, el reconocimiento de la existencia de una comunidad indígena con sus propias autoridades, normas y procedimientos por parte de los juzgadores de tutela, exigía dar un tratamiento jurídico a la situación planteada por el </w:t>
      </w:r>
      <w:proofErr w:type="spellStart"/>
      <w:r>
        <w:rPr>
          <w:rFonts w:ascii="Times New Roman" w:hAnsi="Times New Roman" w:cs="Times New Roman"/>
          <w:i/>
          <w:iCs/>
          <w:sz w:val="28"/>
          <w:szCs w:val="28"/>
          <w:lang w:val="es-CO"/>
        </w:rPr>
        <w:t>petente</w:t>
      </w:r>
      <w:proofErr w:type="spellEnd"/>
      <w:r>
        <w:rPr>
          <w:rFonts w:ascii="Times New Roman" w:hAnsi="Times New Roman" w:cs="Times New Roman"/>
          <w:i/>
          <w:iCs/>
          <w:sz w:val="28"/>
          <w:szCs w:val="28"/>
          <w:lang w:val="es-CO"/>
        </w:rPr>
        <w:t xml:space="preserve"> desde la perspectiva del derecho constitucional y no según el régimen de comunidad civil dispuesto para regular las relaciones entre comuneros.</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left="567" w:right="51"/>
        <w:jc w:val="both"/>
      </w:pPr>
      <w:r>
        <w:rPr>
          <w:rFonts w:ascii="Times New Roman" w:hAnsi="Times New Roman" w:cs="Times New Roman"/>
          <w:b/>
          <w:bCs/>
          <w:sz w:val="28"/>
          <w:szCs w:val="28"/>
          <w:lang w:val="es-CO"/>
        </w:rPr>
        <w:t>PRINCIPIO DE DIVERSIDAD ETNICA Y CULTURAL</w:t>
      </w:r>
      <w:r>
        <w:rPr>
          <w:rFonts w:ascii="Times New Roman" w:hAnsi="Times New Roman" w:cs="Times New Roman"/>
          <w:sz w:val="28"/>
          <w:szCs w:val="28"/>
          <w:lang w:val="es-CO"/>
        </w:rPr>
        <w:t>-Límites</w:t>
      </w:r>
      <w:r>
        <w:rPr>
          <w:rFonts w:ascii="Times New Roman" w:hAnsi="Times New Roman" w:cs="Times New Roman"/>
          <w:b/>
          <w:bCs/>
          <w:sz w:val="28"/>
          <w:szCs w:val="28"/>
          <w:lang w:val="es-CO"/>
        </w:rPr>
        <w:t>/DERECHOS FUNDAMENTALES DEL INDIGENA</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i/>
          <w:iCs/>
          <w:sz w:val="28"/>
          <w:szCs w:val="28"/>
          <w:lang w:val="es-CO"/>
        </w:rPr>
        <w:t>Existe una tensión entre el reconocimiento constitucional de la diversidad étnica y cultural y la consagración de los derechos fundamentales. Mientras que éstos filosóficamente se fundamentan en normas transculturales, pretendidamente universales, que permitirían afianzar una base firme para la convivencia y la paz entre las naciones, el respeto de la diversidad supone la aceptación de cosmovisiones y de estándares valorativos diversos y hasta contrarios a los valores de una ética universal. Esta paradoja ha dado lugar a un candente debate filosófico sobre la vigencia de los derechos humanos consagrados en los tratados internacionales. La plena vigencia de los derechos fundamentales constitucionales en los territorios indígenas como límite al principio de diversidad étnica y constitucional es acogido en el plano del derecho internacional, particularmente en lo que tiene que ver con los derechos humanos como código universal de convivencia y diálogo entre las culturas y naciones, presupuesto de la paz, de la justicia, de la libertad y de la prosperidad de todos los pueblos.</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left="567" w:right="51"/>
        <w:jc w:val="both"/>
      </w:pPr>
      <w:r>
        <w:rPr>
          <w:rFonts w:ascii="Times New Roman" w:hAnsi="Times New Roman" w:cs="Times New Roman"/>
          <w:b/>
          <w:bCs/>
          <w:sz w:val="28"/>
          <w:szCs w:val="28"/>
          <w:lang w:val="es-CO"/>
        </w:rPr>
        <w:t>DESTIERRO</w:t>
      </w:r>
      <w:r>
        <w:rPr>
          <w:rFonts w:ascii="Times New Roman" w:hAnsi="Times New Roman" w:cs="Times New Roman"/>
          <w:sz w:val="28"/>
          <w:szCs w:val="28"/>
          <w:lang w:val="es-CO"/>
        </w:rPr>
        <w:t>-Naturaleza</w:t>
      </w:r>
      <w:r>
        <w:rPr>
          <w:rFonts w:ascii="Times New Roman" w:hAnsi="Times New Roman" w:cs="Times New Roman"/>
          <w:b/>
          <w:bCs/>
          <w:sz w:val="28"/>
          <w:szCs w:val="28"/>
          <w:lang w:val="es-CO"/>
        </w:rPr>
        <w:t>/COMUNIDAD INDIGENA</w:t>
      </w:r>
      <w:r>
        <w:rPr>
          <w:rFonts w:ascii="Times New Roman" w:hAnsi="Times New Roman" w:cs="Times New Roman"/>
          <w:sz w:val="28"/>
          <w:szCs w:val="28"/>
          <w:lang w:val="es-CO"/>
        </w:rPr>
        <w:t>-Exclusión</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i/>
          <w:iCs/>
          <w:sz w:val="28"/>
          <w:szCs w:val="28"/>
          <w:lang w:val="es-CO"/>
        </w:rPr>
        <w:t xml:space="preserve">Un límite constitucional explícito al ejercicio de la potestad punitiva por parte de las autoridades de los pueblos indígenas, lo constituye la prohibición de imponer penas de destierro, prisión perpetua y confiscación. El actor acusa la decisión de la comunidad de violar esta prohibición. Bajo una perspectiva antropológica, la pena de destierro </w:t>
      </w:r>
      <w:r>
        <w:rPr>
          <w:rFonts w:ascii="Times New Roman" w:hAnsi="Times New Roman" w:cs="Times New Roman"/>
          <w:i/>
          <w:iCs/>
          <w:sz w:val="28"/>
          <w:szCs w:val="28"/>
          <w:lang w:val="es-CO"/>
        </w:rPr>
        <w:lastRenderedPageBreak/>
        <w:t xml:space="preserve">comprende la sanción de extrañamiento de un miembro de la colectividad que conlleva la pérdida de su identidad cultural y la separación física del resto de la comunidad. Esta práctica de condenar al ostracismo al infractor de las normas internas de la comunidad es frecuente en las organizaciones sociales en las que la defensa de la colectividad prevalece sobre los derechos individuales. La inclusión en las cartas de derechos internacionales de la prohibición de la pena del destierro es coetánea al surgimiento del Estado-Nación, por lo que política y jurídicamente el destierro viene a identificarse con la privación de la nacionalidad o de la patria, sanción que repugna a la concepción de los derechos humanos de estirpe individual. En consecuencia, a la luz de los tratados internacionales sobre derechos humanos ratificados por Colombia, la pena de destierro sólo se refiere a la expulsión del territorio del Estado y no a la exclusión de las comunidades indígenas que habitan un espacio de dicho territorio pero que no exhiben el carácter de Naciones. La expulsión del </w:t>
      </w:r>
      <w:proofErr w:type="spellStart"/>
      <w:r>
        <w:rPr>
          <w:rFonts w:ascii="Times New Roman" w:hAnsi="Times New Roman" w:cs="Times New Roman"/>
          <w:i/>
          <w:iCs/>
          <w:sz w:val="28"/>
          <w:szCs w:val="28"/>
          <w:lang w:val="es-CO"/>
        </w:rPr>
        <w:t>petente</w:t>
      </w:r>
      <w:proofErr w:type="spellEnd"/>
      <w:r>
        <w:rPr>
          <w:rFonts w:ascii="Times New Roman" w:hAnsi="Times New Roman" w:cs="Times New Roman"/>
          <w:i/>
          <w:iCs/>
          <w:sz w:val="28"/>
          <w:szCs w:val="28"/>
          <w:lang w:val="es-CO"/>
        </w:rPr>
        <w:t xml:space="preserve">, en consecuencia, no vulneró la prohibición del destierro.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left="567" w:right="51"/>
        <w:jc w:val="both"/>
      </w:pPr>
      <w:r>
        <w:rPr>
          <w:rFonts w:ascii="Times New Roman" w:hAnsi="Times New Roman" w:cs="Times New Roman"/>
          <w:b/>
          <w:bCs/>
          <w:sz w:val="28"/>
          <w:szCs w:val="28"/>
          <w:lang w:val="es-CO"/>
        </w:rPr>
        <w:t>CONFISCACION</w:t>
      </w:r>
      <w:r>
        <w:rPr>
          <w:rFonts w:ascii="Times New Roman" w:hAnsi="Times New Roman" w:cs="Times New Roman"/>
          <w:sz w:val="28"/>
          <w:szCs w:val="28"/>
          <w:lang w:val="es-CO"/>
        </w:rPr>
        <w:t>-Improcedencia</w:t>
      </w:r>
      <w:r>
        <w:rPr>
          <w:rFonts w:ascii="Times New Roman" w:hAnsi="Times New Roman" w:cs="Times New Roman"/>
          <w:b/>
          <w:bCs/>
          <w:sz w:val="28"/>
          <w:szCs w:val="28"/>
          <w:lang w:val="es-CO"/>
        </w:rPr>
        <w:t>/COMUNIDAD INDIGENA</w:t>
      </w:r>
      <w:r>
        <w:rPr>
          <w:rFonts w:ascii="Times New Roman" w:hAnsi="Times New Roman" w:cs="Times New Roman"/>
          <w:sz w:val="28"/>
          <w:szCs w:val="28"/>
          <w:lang w:val="es-CO"/>
        </w:rPr>
        <w:t>-Expulsión</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i/>
          <w:iCs/>
          <w:sz w:val="28"/>
          <w:szCs w:val="28"/>
          <w:lang w:val="es-CO"/>
        </w:rPr>
        <w:t xml:space="preserve">Si bien la propiedad de la cual puede ser titular una comunidad indígena tiene carácter colectivo, no escapa a esta Corte que en la medida en que sus usos y costumbres permitan el reconocimiento de mejoras efectuadas por sus miembros, la sanción consistente en la expulsión de uno de sus integrantes que, al mismo tiempo, signifique la pérdida absoluta de aquéllas, equivale a la pena de confiscación constitucionalmente proscrita. En verdad, el sujeto pasivo de la sanción y su familia se verían expuestos a una situación de indigencia y de absoluto despojo, motivos que llevaron al Constituyente a señalar que en ningún caso dicha pena podría ser impuesta. Independientemente del sistema privado o colectivo conforme al cual se organice la producción y distribución de bienes, el régimen punitivo no puede contener sanciones que aparejen consecuencias tan extremas para el sujeto pasivo y su familia próxima, como las que provendrían de la pérdida absoluta de sus posibilidades de subsistencia - a través de formas de apropiación privada de la riqueza o de usufructo colectivo - pues, </w:t>
      </w:r>
      <w:proofErr w:type="spellStart"/>
      <w:r>
        <w:rPr>
          <w:rFonts w:ascii="Times New Roman" w:hAnsi="Times New Roman" w:cs="Times New Roman"/>
          <w:i/>
          <w:iCs/>
          <w:sz w:val="28"/>
          <w:szCs w:val="28"/>
          <w:lang w:val="es-CO"/>
        </w:rPr>
        <w:t>éllas</w:t>
      </w:r>
      <w:proofErr w:type="spellEnd"/>
      <w:r>
        <w:rPr>
          <w:rFonts w:ascii="Times New Roman" w:hAnsi="Times New Roman" w:cs="Times New Roman"/>
          <w:i/>
          <w:iCs/>
          <w:sz w:val="28"/>
          <w:szCs w:val="28"/>
          <w:lang w:val="es-CO"/>
        </w:rPr>
        <w:t>, en últimas, configurarían materialmente una confiscación.</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left="567" w:right="51"/>
        <w:jc w:val="both"/>
      </w:pPr>
      <w:r>
        <w:rPr>
          <w:rFonts w:ascii="Times New Roman" w:hAnsi="Times New Roman" w:cs="Times New Roman"/>
          <w:b/>
          <w:bCs/>
          <w:sz w:val="28"/>
          <w:szCs w:val="28"/>
          <w:lang w:val="es-CO"/>
        </w:rPr>
        <w:t>JURISDICCION INDIGENA</w:t>
      </w:r>
      <w:r>
        <w:rPr>
          <w:rFonts w:ascii="Times New Roman" w:hAnsi="Times New Roman" w:cs="Times New Roman"/>
          <w:sz w:val="28"/>
          <w:szCs w:val="28"/>
          <w:lang w:val="es-CO"/>
        </w:rPr>
        <w:t>-Límites</w:t>
      </w:r>
      <w:r>
        <w:rPr>
          <w:rFonts w:ascii="Times New Roman" w:hAnsi="Times New Roman" w:cs="Times New Roman"/>
          <w:b/>
          <w:bCs/>
          <w:sz w:val="28"/>
          <w:szCs w:val="28"/>
          <w:lang w:val="es-CO"/>
        </w:rPr>
        <w:t>/DEBIDO PROCESO</w:t>
      </w:r>
      <w:r>
        <w:rPr>
          <w:rFonts w:ascii="Times New Roman" w:hAnsi="Times New Roman" w:cs="Times New Roman"/>
          <w:sz w:val="28"/>
          <w:szCs w:val="28"/>
          <w:lang w:val="es-CO"/>
        </w:rPr>
        <w:t>-Contenido</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right="51"/>
        <w:jc w:val="both"/>
      </w:pPr>
      <w:r>
        <w:rPr>
          <w:rFonts w:ascii="Times New Roman" w:hAnsi="Times New Roman" w:cs="Times New Roman"/>
          <w:i/>
          <w:iCs/>
          <w:sz w:val="28"/>
          <w:szCs w:val="28"/>
          <w:lang w:val="es-CO"/>
        </w:rPr>
        <w:t xml:space="preserve">El derecho fundamental al debido proceso constituye un límite jurídico-material de la jurisdicción especial que ejercen las autoridades de los </w:t>
      </w:r>
      <w:r>
        <w:rPr>
          <w:rFonts w:ascii="Times New Roman" w:hAnsi="Times New Roman" w:cs="Times New Roman"/>
          <w:i/>
          <w:iCs/>
          <w:sz w:val="28"/>
          <w:szCs w:val="28"/>
          <w:lang w:val="es-CO"/>
        </w:rPr>
        <w:lastRenderedPageBreak/>
        <w:t xml:space="preserve">pueblos indígenas que la realizan según "sus propias normas y procedimientos, siempre y cuando no sean contrarios a la Constitución y a la ley". Cualquiera sea el contenido de las disposiciones jurídicas internas de las comunidades indígenas, estás deben respetar los derechos y principios contenidos en el núcleo esencial del derecho consagrado en el artículo 29 de la Carta.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left="567" w:right="51"/>
        <w:jc w:val="both"/>
      </w:pPr>
      <w:r>
        <w:rPr>
          <w:rFonts w:ascii="Times New Roman" w:hAnsi="Times New Roman" w:cs="Times New Roman"/>
          <w:b/>
          <w:bCs/>
          <w:sz w:val="28"/>
          <w:szCs w:val="28"/>
          <w:lang w:val="es-CO"/>
        </w:rPr>
        <w:t>PRINCIPIO DE PROPORCIONALIDAD DE LA SANCION/SANCION COLECTIVA/AUTORIDAD JURISDICCIONAL</w:t>
      </w:r>
      <w:r>
        <w:rPr>
          <w:rFonts w:ascii="Times New Roman" w:hAnsi="Times New Roman" w:cs="Times New Roman"/>
          <w:sz w:val="28"/>
          <w:szCs w:val="28"/>
          <w:lang w:val="es-CO"/>
        </w:rPr>
        <w:t>-Discrecionalidad</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i/>
          <w:iCs/>
          <w:sz w:val="28"/>
          <w:szCs w:val="28"/>
          <w:lang w:val="es-CO"/>
        </w:rPr>
        <w:t xml:space="preserve">Esta Corporación ha sostenido reiteradamente que las sanciones impuestas al infractor deben guardar proporcionalidad con la conducta sancionada. Las autoridades jurisdiccionales gozan de un amplio margen de discrecionalidad en el uso del poder sancionador atribuido por la Constitución o la ley.  No obstante, este poder no es ilimitado, debe ser razonable y dejar intactos otros valores jurídicos protegidos por el ordenamiento. Las sanciones o penas colectivas son contrarias al principio de que "nadie podrá ser juzgado sino conforme a leyes preexistentes al acto que se le </w:t>
      </w:r>
      <w:proofErr w:type="gramStart"/>
      <w:r>
        <w:rPr>
          <w:rFonts w:ascii="Times New Roman" w:hAnsi="Times New Roman" w:cs="Times New Roman"/>
          <w:i/>
          <w:iCs/>
          <w:sz w:val="28"/>
          <w:szCs w:val="28"/>
          <w:lang w:val="es-CO"/>
        </w:rPr>
        <w:t>imputa ...</w:t>
      </w:r>
      <w:proofErr w:type="gramEnd"/>
      <w:r>
        <w:rPr>
          <w:rFonts w:ascii="Times New Roman" w:hAnsi="Times New Roman" w:cs="Times New Roman"/>
          <w:i/>
          <w:iCs/>
          <w:sz w:val="28"/>
          <w:szCs w:val="28"/>
          <w:lang w:val="es-CO"/>
        </w:rPr>
        <w:t xml:space="preserve">". Adicionalmente, la ley penal se erige sobre el principio de responsabilidad individual, que supone el juzgamiento del acusado y el respeto del principio de presunción de inocencia, presupuestos esenciales del poder sancionatorio del Estado o de los particulares que excepcionalmente ejercen funciones jurisdiccionales. En consecuencia, la pena impuesta al peticionario se revela desproporcionada y materialmente injusta por abarcar a los integrantes de su familia, circunstancia que genera la vulneración de los derechos fundamentales al debido proceso y a la integridad física de sus hijos.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left="567" w:right="51"/>
        <w:jc w:val="both"/>
      </w:pPr>
      <w:r>
        <w:rPr>
          <w:rFonts w:ascii="Times New Roman" w:hAnsi="Times New Roman" w:cs="Times New Roman"/>
          <w:b/>
          <w:bCs/>
          <w:sz w:val="28"/>
          <w:szCs w:val="28"/>
          <w:lang w:val="es-CO"/>
        </w:rPr>
        <w:t>MEJORAS</w:t>
      </w:r>
      <w:r>
        <w:rPr>
          <w:rFonts w:ascii="Times New Roman" w:hAnsi="Times New Roman" w:cs="Times New Roman"/>
          <w:sz w:val="28"/>
          <w:szCs w:val="28"/>
          <w:lang w:val="es-CO"/>
        </w:rPr>
        <w:t>-Pago</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right="51"/>
        <w:jc w:val="both"/>
      </w:pPr>
      <w:r>
        <w:rPr>
          <w:rFonts w:ascii="Times New Roman" w:hAnsi="Times New Roman" w:cs="Times New Roman"/>
          <w:i/>
          <w:iCs/>
          <w:sz w:val="28"/>
          <w:szCs w:val="28"/>
          <w:lang w:val="es-CO"/>
        </w:rPr>
        <w:t>La acción de tutela no es el mecanismo judicial procedente para obtener el pago de las mejoras reclamadas por el peticionario, más aún cuando no existen usos y costumbres en la comunidad sobre la materia, como puede desprenderse de las declaraciones dispares de los miembros del cabildo indígena. Mientras que para alguno el actor no tendría derecho al pago de mejoras por haber "robado" tres veces, otros, en cambio, no le niegan dicho derecho, sino que discrepan respecto de su cuantía.</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right="51"/>
        <w:jc w:val="both"/>
      </w:pPr>
      <w:r>
        <w:rPr>
          <w:rFonts w:ascii="Times New Roman" w:hAnsi="Times New Roman" w:cs="Times New Roman"/>
          <w:b/>
          <w:bCs/>
          <w:sz w:val="28"/>
          <w:szCs w:val="28"/>
          <w:lang w:val="es-CO"/>
        </w:rPr>
        <w:t xml:space="preserve">                                                          </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right="51"/>
        <w:jc w:val="center"/>
      </w:pPr>
      <w:r>
        <w:rPr>
          <w:rFonts w:ascii="Times New Roman" w:hAnsi="Times New Roman" w:cs="Times New Roman"/>
          <w:sz w:val="28"/>
          <w:szCs w:val="28"/>
          <w:lang w:val="es-CO"/>
        </w:rPr>
        <w:t>MAYO 30 DE 1994</w:t>
      </w:r>
    </w:p>
    <w:p w:rsidR="00117ACB" w:rsidRDefault="00117ACB" w:rsidP="00117ACB">
      <w:pPr>
        <w:ind w:right="51"/>
        <w:jc w:val="center"/>
      </w:pPr>
      <w:r>
        <w:rPr>
          <w:rFonts w:ascii="Times New Roman" w:hAnsi="Times New Roman" w:cs="Times New Roman"/>
          <w:sz w:val="28"/>
          <w:szCs w:val="28"/>
          <w:lang w:val="es-CO"/>
        </w:rPr>
        <w:lastRenderedPageBreak/>
        <w:t> </w:t>
      </w:r>
    </w:p>
    <w:p w:rsidR="00117ACB" w:rsidRDefault="00117ACB" w:rsidP="00117ACB">
      <w:pPr>
        <w:ind w:right="51" w:firstLine="3685"/>
        <w:jc w:val="both"/>
      </w:pPr>
      <w:proofErr w:type="spellStart"/>
      <w:r>
        <w:rPr>
          <w:rFonts w:ascii="Times New Roman" w:hAnsi="Times New Roman" w:cs="Times New Roman"/>
          <w:b/>
          <w:bCs/>
          <w:sz w:val="28"/>
          <w:szCs w:val="28"/>
          <w:lang w:val="es-CO"/>
        </w:rPr>
        <w:t>Ref</w:t>
      </w:r>
      <w:proofErr w:type="spellEnd"/>
      <w:r>
        <w:rPr>
          <w:rFonts w:ascii="Times New Roman" w:hAnsi="Times New Roman" w:cs="Times New Roman"/>
          <w:b/>
          <w:bCs/>
          <w:sz w:val="28"/>
          <w:szCs w:val="28"/>
          <w:lang w:val="es-CO"/>
        </w:rPr>
        <w:t>: Expediente T-30116</w:t>
      </w:r>
    </w:p>
    <w:p w:rsidR="00117ACB" w:rsidRDefault="00117ACB" w:rsidP="00117ACB">
      <w:pPr>
        <w:ind w:right="51" w:firstLine="3685"/>
        <w:jc w:val="both"/>
      </w:pPr>
      <w:r>
        <w:rPr>
          <w:rFonts w:ascii="Times New Roman" w:hAnsi="Times New Roman" w:cs="Times New Roman"/>
          <w:b/>
          <w:bCs/>
          <w:sz w:val="28"/>
          <w:szCs w:val="28"/>
          <w:lang w:val="es-CO"/>
        </w:rPr>
        <w:t xml:space="preserve">Actor: ANANIAS NARVAEZ </w:t>
      </w:r>
    </w:p>
    <w:p w:rsidR="00117ACB" w:rsidRDefault="00117ACB" w:rsidP="00117ACB">
      <w:pPr>
        <w:ind w:right="51" w:firstLine="3685"/>
        <w:jc w:val="both"/>
      </w:pPr>
      <w:r>
        <w:rPr>
          <w:rFonts w:ascii="Times New Roman" w:hAnsi="Times New Roman" w:cs="Times New Roman"/>
          <w:b/>
          <w:bCs/>
          <w:sz w:val="28"/>
          <w:szCs w:val="28"/>
          <w:lang w:val="es-CO"/>
        </w:rPr>
        <w:t>Magistrado Ponente:</w:t>
      </w:r>
    </w:p>
    <w:p w:rsidR="00117ACB" w:rsidRDefault="00117ACB" w:rsidP="00117ACB">
      <w:pPr>
        <w:ind w:right="51" w:firstLine="3685"/>
        <w:jc w:val="both"/>
      </w:pPr>
      <w:r>
        <w:rPr>
          <w:rFonts w:ascii="Times New Roman" w:hAnsi="Times New Roman" w:cs="Times New Roman"/>
          <w:b/>
          <w:bCs/>
          <w:sz w:val="28"/>
          <w:szCs w:val="28"/>
          <w:lang w:val="es-CO"/>
        </w:rPr>
        <w:t>Dr. EDUARDO CIFUENTES MUÑOZ</w:t>
      </w:r>
    </w:p>
    <w:p w:rsidR="00117ACB" w:rsidRDefault="00117ACB" w:rsidP="00117ACB">
      <w:pPr>
        <w:ind w:right="51" w:firstLine="3685"/>
        <w:jc w:val="both"/>
      </w:pPr>
      <w:r>
        <w:rPr>
          <w:rFonts w:ascii="Times New Roman" w:hAnsi="Times New Roman" w:cs="Times New Roman"/>
          <w:b/>
          <w:bCs/>
          <w:sz w:val="28"/>
          <w:szCs w:val="28"/>
          <w:lang w:val="es-CO"/>
        </w:rPr>
        <w:t> </w:t>
      </w:r>
    </w:p>
    <w:p w:rsidR="00117ACB" w:rsidRDefault="00117ACB" w:rsidP="00117ACB">
      <w:pPr>
        <w:ind w:right="51" w:firstLine="3685"/>
        <w:jc w:val="both"/>
      </w:pPr>
      <w:r>
        <w:rPr>
          <w:rFonts w:ascii="Times New Roman" w:hAnsi="Times New Roman" w:cs="Times New Roman"/>
          <w:b/>
          <w:bCs/>
          <w:sz w:val="28"/>
          <w:szCs w:val="28"/>
          <w:lang w:val="es-CO"/>
        </w:rPr>
        <w:t>Temas:</w:t>
      </w:r>
    </w:p>
    <w:p w:rsidR="00117ACB" w:rsidRDefault="00117ACB" w:rsidP="00117ACB">
      <w:pPr>
        <w:ind w:left="3686" w:right="51"/>
        <w:jc w:val="both"/>
      </w:pPr>
      <w:r>
        <w:rPr>
          <w:rFonts w:ascii="Times New Roman" w:hAnsi="Times New Roman" w:cs="Times New Roman"/>
          <w:b/>
          <w:bCs/>
          <w:sz w:val="28"/>
          <w:szCs w:val="28"/>
          <w:lang w:val="es-CO"/>
        </w:rPr>
        <w:t>-Autonomía indígena y régimen unitario</w:t>
      </w:r>
    </w:p>
    <w:p w:rsidR="00117ACB" w:rsidRDefault="00117ACB" w:rsidP="00117ACB">
      <w:pPr>
        <w:ind w:left="3686" w:right="51"/>
        <w:jc w:val="both"/>
      </w:pPr>
      <w:r>
        <w:rPr>
          <w:rFonts w:ascii="Times New Roman" w:hAnsi="Times New Roman" w:cs="Times New Roman"/>
          <w:b/>
          <w:bCs/>
          <w:sz w:val="28"/>
          <w:szCs w:val="28"/>
          <w:lang w:val="es-CO"/>
        </w:rPr>
        <w:t>-Jurisdicción indígena</w:t>
      </w:r>
    </w:p>
    <w:p w:rsidR="00117ACB" w:rsidRDefault="00117ACB" w:rsidP="00117ACB">
      <w:pPr>
        <w:ind w:left="3686" w:right="51"/>
        <w:jc w:val="both"/>
      </w:pPr>
      <w:r>
        <w:rPr>
          <w:rFonts w:ascii="Times New Roman" w:hAnsi="Times New Roman" w:cs="Times New Roman"/>
          <w:b/>
          <w:bCs/>
          <w:sz w:val="28"/>
          <w:szCs w:val="28"/>
          <w:lang w:val="es-CO"/>
        </w:rPr>
        <w:t>-Vigencia de los derechos fundamentales</w:t>
      </w:r>
    </w:p>
    <w:p w:rsidR="00117ACB" w:rsidRDefault="00117ACB" w:rsidP="00117ACB">
      <w:pPr>
        <w:ind w:left="3686" w:right="51"/>
        <w:jc w:val="both"/>
      </w:pPr>
      <w:r>
        <w:rPr>
          <w:rFonts w:ascii="Times New Roman" w:hAnsi="Times New Roman" w:cs="Times New Roman"/>
          <w:b/>
          <w:bCs/>
          <w:sz w:val="28"/>
          <w:szCs w:val="28"/>
          <w:lang w:val="es-CO"/>
        </w:rPr>
        <w:t>-Principio de diversidad étnica y cultural</w:t>
      </w:r>
    </w:p>
    <w:p w:rsidR="00117ACB" w:rsidRDefault="00117ACB" w:rsidP="00117ACB">
      <w:pPr>
        <w:ind w:left="3686" w:right="51"/>
        <w:jc w:val="both"/>
      </w:pPr>
      <w:r>
        <w:rPr>
          <w:rFonts w:ascii="Times New Roman" w:hAnsi="Times New Roman" w:cs="Times New Roman"/>
          <w:b/>
          <w:bCs/>
          <w:sz w:val="28"/>
          <w:szCs w:val="28"/>
          <w:lang w:val="es-CO"/>
        </w:rPr>
        <w:t>-Penas de destierro y confiscación</w:t>
      </w:r>
    </w:p>
    <w:p w:rsidR="00117ACB" w:rsidRDefault="00117ACB" w:rsidP="00117ACB">
      <w:pPr>
        <w:ind w:left="3686" w:right="51"/>
        <w:jc w:val="both"/>
      </w:pPr>
      <w:r>
        <w:rPr>
          <w:rFonts w:ascii="Times New Roman" w:hAnsi="Times New Roman" w:cs="Times New Roman"/>
          <w:b/>
          <w:bCs/>
          <w:sz w:val="28"/>
          <w:szCs w:val="28"/>
          <w:lang w:val="es-CO"/>
        </w:rPr>
        <w:t>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La Sala Tercera de Revisión de la Corte Constitucional, integrada por los Magistrados Eduardo Cifuentes Muñoz, Carlos Gaviria Díaz y José Gregorio Hernández Galindo, ha pronunciado</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center"/>
      </w:pPr>
      <w:r>
        <w:rPr>
          <w:rFonts w:ascii="Times New Roman" w:hAnsi="Times New Roman" w:cs="Times New Roman"/>
          <w:sz w:val="28"/>
          <w:szCs w:val="28"/>
          <w:lang w:val="es-CO"/>
        </w:rPr>
        <w:t> </w:t>
      </w:r>
    </w:p>
    <w:p w:rsidR="00117ACB" w:rsidRDefault="00117ACB" w:rsidP="00117ACB">
      <w:pPr>
        <w:ind w:right="51"/>
        <w:jc w:val="center"/>
      </w:pPr>
      <w:r>
        <w:rPr>
          <w:rFonts w:ascii="Times New Roman" w:hAnsi="Times New Roman" w:cs="Times New Roman"/>
          <w:b/>
          <w:bCs/>
          <w:sz w:val="28"/>
          <w:szCs w:val="28"/>
          <w:lang w:val="es-CO"/>
        </w:rPr>
        <w:t>EN NOMBRE DEL PUEBLO</w:t>
      </w:r>
    </w:p>
    <w:p w:rsidR="00117ACB" w:rsidRDefault="00117ACB" w:rsidP="00117ACB">
      <w:pPr>
        <w:ind w:right="51"/>
        <w:jc w:val="center"/>
      </w:pPr>
      <w:r>
        <w:rPr>
          <w:rFonts w:ascii="Times New Roman" w:hAnsi="Times New Roman" w:cs="Times New Roman"/>
          <w:b/>
          <w:bCs/>
          <w:sz w:val="28"/>
          <w:szCs w:val="28"/>
          <w:lang w:val="es-CO"/>
        </w:rPr>
        <w:t> </w:t>
      </w:r>
    </w:p>
    <w:p w:rsidR="00117ACB" w:rsidRDefault="00117ACB" w:rsidP="00117ACB">
      <w:pPr>
        <w:ind w:right="51"/>
        <w:jc w:val="center"/>
      </w:pPr>
      <w:r>
        <w:rPr>
          <w:rFonts w:ascii="Times New Roman" w:hAnsi="Times New Roman" w:cs="Times New Roman"/>
          <w:b/>
          <w:bCs/>
          <w:sz w:val="28"/>
          <w:szCs w:val="28"/>
          <w:lang w:val="es-CO"/>
        </w:rPr>
        <w:t> Y</w:t>
      </w:r>
    </w:p>
    <w:p w:rsidR="00117ACB" w:rsidRDefault="00117ACB" w:rsidP="00117ACB">
      <w:pPr>
        <w:ind w:right="51"/>
        <w:jc w:val="center"/>
      </w:pPr>
      <w:r>
        <w:rPr>
          <w:rFonts w:ascii="Times New Roman" w:hAnsi="Times New Roman" w:cs="Times New Roman"/>
          <w:b/>
          <w:bCs/>
          <w:sz w:val="28"/>
          <w:szCs w:val="28"/>
          <w:lang w:val="es-CO"/>
        </w:rPr>
        <w:t> </w:t>
      </w:r>
    </w:p>
    <w:p w:rsidR="00117ACB" w:rsidRDefault="00117ACB" w:rsidP="00117ACB">
      <w:pPr>
        <w:ind w:right="51"/>
        <w:jc w:val="center"/>
      </w:pPr>
      <w:r>
        <w:rPr>
          <w:rFonts w:ascii="Times New Roman" w:hAnsi="Times New Roman" w:cs="Times New Roman"/>
          <w:b/>
          <w:bCs/>
          <w:sz w:val="28"/>
          <w:szCs w:val="28"/>
          <w:lang w:val="es-CO"/>
        </w:rPr>
        <w:t>  POR MANDATO  DE LA CONSTITUCION</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proofErr w:type="gramStart"/>
      <w:r>
        <w:rPr>
          <w:rFonts w:ascii="Times New Roman" w:hAnsi="Times New Roman" w:cs="Times New Roman"/>
          <w:sz w:val="28"/>
          <w:szCs w:val="28"/>
          <w:lang w:val="es-CO"/>
        </w:rPr>
        <w:t>la</w:t>
      </w:r>
      <w:proofErr w:type="gramEnd"/>
      <w:r>
        <w:rPr>
          <w:rFonts w:ascii="Times New Roman" w:hAnsi="Times New Roman" w:cs="Times New Roman"/>
          <w:sz w:val="28"/>
          <w:szCs w:val="28"/>
          <w:lang w:val="es-CO"/>
        </w:rPr>
        <w:t xml:space="preserve"> siguiente</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center"/>
      </w:pPr>
      <w:r>
        <w:rPr>
          <w:rFonts w:ascii="Times New Roman" w:hAnsi="Times New Roman" w:cs="Times New Roman"/>
          <w:b/>
          <w:bCs/>
          <w:sz w:val="28"/>
          <w:szCs w:val="28"/>
          <w:lang w:val="es-CO"/>
        </w:rPr>
        <w:t>S E N T E N C I A</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En el proceso de tutela T-30116 promovido por ANANIAS NARVAEZ contra la directiva del Cabildo de la Comunidad Indígena de El Tambo, Municipio de </w:t>
      </w:r>
      <w:proofErr w:type="spellStart"/>
      <w:r>
        <w:rPr>
          <w:rFonts w:ascii="Times New Roman" w:hAnsi="Times New Roman" w:cs="Times New Roman"/>
          <w:sz w:val="28"/>
          <w:szCs w:val="28"/>
          <w:lang w:val="es-CO"/>
        </w:rPr>
        <w:t>Coyaima</w:t>
      </w:r>
      <w:proofErr w:type="spellEnd"/>
      <w:r>
        <w:rPr>
          <w:rFonts w:ascii="Times New Roman" w:hAnsi="Times New Roman" w:cs="Times New Roman"/>
          <w:sz w:val="28"/>
          <w:szCs w:val="28"/>
          <w:lang w:val="es-CO"/>
        </w:rPr>
        <w:t>, Departamento del Tolima.</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center"/>
      </w:pPr>
      <w:r>
        <w:rPr>
          <w:rFonts w:ascii="Times New Roman" w:hAnsi="Times New Roman" w:cs="Times New Roman"/>
          <w:b/>
          <w:bCs/>
          <w:sz w:val="28"/>
          <w:szCs w:val="28"/>
          <w:lang w:val="es-CO"/>
        </w:rPr>
        <w:t>ANTECEDENTES</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1. ANANIAS NARVAEZ, natural de </w:t>
      </w:r>
      <w:proofErr w:type="spellStart"/>
      <w:r>
        <w:rPr>
          <w:rFonts w:ascii="Times New Roman" w:hAnsi="Times New Roman" w:cs="Times New Roman"/>
          <w:sz w:val="28"/>
          <w:szCs w:val="28"/>
          <w:lang w:val="es-CO"/>
        </w:rPr>
        <w:t>Coyaima</w:t>
      </w:r>
      <w:proofErr w:type="spellEnd"/>
      <w:r>
        <w:rPr>
          <w:rFonts w:ascii="Times New Roman" w:hAnsi="Times New Roman" w:cs="Times New Roman"/>
          <w:sz w:val="28"/>
          <w:szCs w:val="28"/>
          <w:lang w:val="es-CO"/>
        </w:rPr>
        <w:t xml:space="preserve">, de 50 años de edad, por intermedio de apoderado judicial, interpuso acción de tutela contra la directiva del Cabildo de la Comunidad Indígena de El Tambo, localizada </w:t>
      </w:r>
      <w:r>
        <w:rPr>
          <w:rFonts w:ascii="Times New Roman" w:hAnsi="Times New Roman" w:cs="Times New Roman"/>
          <w:sz w:val="28"/>
          <w:szCs w:val="28"/>
          <w:lang w:val="es-CO"/>
        </w:rPr>
        <w:lastRenderedPageBreak/>
        <w:t xml:space="preserve">en el Municipio de </w:t>
      </w:r>
      <w:proofErr w:type="spellStart"/>
      <w:r>
        <w:rPr>
          <w:rFonts w:ascii="Times New Roman" w:hAnsi="Times New Roman" w:cs="Times New Roman"/>
          <w:sz w:val="28"/>
          <w:szCs w:val="28"/>
          <w:lang w:val="es-CO"/>
        </w:rPr>
        <w:t>Coyaima</w:t>
      </w:r>
      <w:proofErr w:type="spellEnd"/>
      <w:r>
        <w:rPr>
          <w:rFonts w:ascii="Times New Roman" w:hAnsi="Times New Roman" w:cs="Times New Roman"/>
          <w:sz w:val="28"/>
          <w:szCs w:val="28"/>
          <w:lang w:val="es-CO"/>
        </w:rPr>
        <w:t>, Departamento del Tolima, integrada por los señores JOSE DEL CARMEN RAMIREZ CUPITRA (Gobernador), URBANO AROCA LOZANO (Gobernador Suplente),  GERMAN TIQUE (Secretario), FIDEL YARA CONDE (Tesorero), MARCO TULIO CULMA CONDE (Fiscal), EUSEBIO YARA CONDE (Alcalde) y JOSE ALEJANDRO CAPERA TIQUE (Comisario).</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Según el peticionario, el día 19 de diciembre de 1992 se realizó una reunión en la comunidad indígena de El Tambo, Municipio de </w:t>
      </w:r>
      <w:proofErr w:type="spellStart"/>
      <w:r>
        <w:rPr>
          <w:rFonts w:ascii="Times New Roman" w:hAnsi="Times New Roman" w:cs="Times New Roman"/>
          <w:sz w:val="28"/>
          <w:szCs w:val="28"/>
          <w:lang w:val="es-CO"/>
        </w:rPr>
        <w:t>Coyaima</w:t>
      </w:r>
      <w:proofErr w:type="spellEnd"/>
      <w:r>
        <w:rPr>
          <w:rFonts w:ascii="Times New Roman" w:hAnsi="Times New Roman" w:cs="Times New Roman"/>
          <w:sz w:val="28"/>
          <w:szCs w:val="28"/>
          <w:lang w:val="es-CO"/>
        </w:rPr>
        <w:t>, en la que se decidió expulsarlo, junto con su familia, por la supuesta comisión del delito de hurto. Su exclusión de la comunidad se realizó - sostuvo - sin fundamento probatorio y sin que las directivas del cabildo indígena hubieran adelantado investigación alguna en relación con los hechos imputados. Igualmente, con base en rumores que ninguno sustentó - afirmó -, se lo despojó de la parcela adjudicada a él por la comunidad, de aproximadamente dos hectáreas, en la que tenía cultivos de yuca, caña, plátano, maíz, limones, maracuyá, mango y papayos. La directiva del cabildo indígena no aceptó su propuesta en el sentido de que se dejara la parcela a un hijo menor suyo, de 16 años de edad, en cuyo caso él abandonaría voluntariamente la comunidad. Pese a la mediación del Consejo Regional Indígena del Tolima, CRIT - agregó -, el cabildo indígena reiteró su decisión de "expulsarlo" y "desterrarlo", junto con su familia, de la comunidad, donde residía y laboraba hace más de 11 años, habiéndose caracterizado por ser un auténtico líder preocupado por su bienestar.</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2. El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consideró que la decisión del cabildo indígena de El Tambo vulneró sus derechos fundamentales al debido proceso, al trabajo, a la honra y al buen nombre y a la vida, y desconoció la prohibición constitucional de las penas de destierro, prisión perpetua y confiscación. Su apoderado fundamentó la múltiple violación en los siguientes hechos: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2.1 La directiva del cabildo indígena imputó diversos hurtos al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frente a la comunidad, "sin agotar ningún procedimiento investigativo y dándole plena credibilidad a rumores que ninguna persona sustentó", actuaciones que vulneraron el derecho al debido proceso.</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2.2. La decisión de expulsarlo de la comunidad y de despojarlo de su parcela violó el derecho al trabajo por cuanto el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es un indígena, de avanzada edad y con limitaciones físicas, que "carece de las habilidades necesarias para trabajar en una zona urbana, porque sus labores las ha realizado en zonas rurales", lo que lo coloca en una situación desventajosa para lograr su subsistencia y satisfacer las necesidades de sus hijos </w:t>
      </w:r>
      <w:r>
        <w:rPr>
          <w:rFonts w:ascii="Times New Roman" w:hAnsi="Times New Roman" w:cs="Times New Roman"/>
          <w:sz w:val="28"/>
          <w:szCs w:val="28"/>
          <w:lang w:val="es-CO"/>
        </w:rPr>
        <w:lastRenderedPageBreak/>
        <w:t xml:space="preserve">menores. Actualmente - agrega -, reside en </w:t>
      </w:r>
      <w:proofErr w:type="spellStart"/>
      <w:r>
        <w:rPr>
          <w:rFonts w:ascii="Times New Roman" w:hAnsi="Times New Roman" w:cs="Times New Roman"/>
          <w:sz w:val="28"/>
          <w:szCs w:val="28"/>
          <w:lang w:val="es-CO"/>
        </w:rPr>
        <w:t>Natagaima</w:t>
      </w:r>
      <w:proofErr w:type="spellEnd"/>
      <w:r>
        <w:rPr>
          <w:rFonts w:ascii="Times New Roman" w:hAnsi="Times New Roman" w:cs="Times New Roman"/>
          <w:sz w:val="28"/>
          <w:szCs w:val="28"/>
          <w:lang w:val="es-CO"/>
        </w:rPr>
        <w:t xml:space="preserve">, en condiciones infrahumanas.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2.3 Las acusaciones elevadas públicamente en su contra por la directiva del cabildo vulneraron sus derechos a la honra y al buen nombre.</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2.4 Las sindicaciones hechas atentan contra su derecho a la vida, si se tiene en cuenta que en la zona donde reside hay delicados problemas de orden público y operan personas o grupos a quienes les parece correcto aplicar justicia por su propia mano.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2.5 La decisión de expulsarlo de la comunidad y de confiscarle su parcela, sin reconocerle el valor de las mejoras del predio, va en contravía de la prohibición del destierro y de la confiscación. Afirma el apoderado del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que si bien las normas legales facultan a los pueblos indígenas para el manejo de sus conflictos internos de acuerdo con sus usos y costumbres, lo cierto es que sus actuaciones están sujetas a la Constitución y a la ley, y no pueden desconocerlas.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3. El actor estimó procedente la acción de tutela, ya que se endereza contra una autoridad pública, en este caso, el cabildo de la comunidad indígena de El Tambo, ente público con régimen especial, de conformidad con el Decreto 2001 de 1988.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4. El peticionario manifestó, por último, que "la acción de tutela estaba orientada a obtener la anulación de la decisión que expulsa y confisca los bienes de ANANIAS NARVAEZ", y que pretendía "establecer limitantes al ejercicio de la autonomía que en su momento pueden ejercer los cabildos indígenas".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5. Con la petición de tutela se presentó copia informal del acta de posesión del cabildo indígena de El Tambo, celebrada el veinte (20) de febrero de 1993 ante el Alcalde Municipal de </w:t>
      </w:r>
      <w:proofErr w:type="spellStart"/>
      <w:r>
        <w:rPr>
          <w:rFonts w:ascii="Times New Roman" w:hAnsi="Times New Roman" w:cs="Times New Roman"/>
          <w:sz w:val="28"/>
          <w:szCs w:val="28"/>
          <w:lang w:val="es-CO"/>
        </w:rPr>
        <w:t>Coyaima</w:t>
      </w:r>
      <w:proofErr w:type="spellEnd"/>
      <w:r>
        <w:rPr>
          <w:rFonts w:ascii="Times New Roman" w:hAnsi="Times New Roman" w:cs="Times New Roman"/>
          <w:sz w:val="28"/>
          <w:szCs w:val="28"/>
          <w:lang w:val="es-CO"/>
        </w:rPr>
        <w:t xml:space="preserve">, Tolima, en la que figuran las personas demandadas en tutela como integrantes del mencionado organismo. Igualmente, se entregó fotocopia simple de una comunicación fechada el 3 de marzo de 1993, dirigida al Comité Ejecutivo del CRIT - Consejo Regional Indígena del Tolima - por el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en la que expone su situación de expulsado de la comunidad; denuncia las presiones y amenazas contra muchos de sus miembros por parte del entonces Gobernador para que votaran afirmativamente su expulsión, y, manifiesta, que su retiro fue injusto e ilegal, que no lo compartía pero que lo aceptaba, siempre y cuando se hiciere justicia y se le pagara el monto de dinero correspondiente a las mejoras realizadas en las tierras que el mismo </w:t>
      </w:r>
      <w:r>
        <w:rPr>
          <w:rFonts w:ascii="Times New Roman" w:hAnsi="Times New Roman" w:cs="Times New Roman"/>
          <w:sz w:val="28"/>
          <w:szCs w:val="28"/>
          <w:lang w:val="es-CO"/>
        </w:rPr>
        <w:lastRenderedPageBreak/>
        <w:t xml:space="preserve">cabildo indígena le había asignado para trabajar con su familia, que consideraba ascendían a la suma de 3 millones quinientos mil pesos.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6. La Sala Penal del Tribunal Superior del Distrito Judicial del Tolima conoció de la acción de tutela y, mediante auto de octubre 21 de 1993, ordenó se recibiera la ratificación y ampliación de los hechos al peticionario y la declaración de los directivos del cabildo indígena de El </w:t>
      </w:r>
      <w:proofErr w:type="spellStart"/>
      <w:r>
        <w:rPr>
          <w:rFonts w:ascii="Times New Roman" w:hAnsi="Times New Roman" w:cs="Times New Roman"/>
          <w:sz w:val="28"/>
          <w:szCs w:val="28"/>
          <w:lang w:val="es-CO"/>
        </w:rPr>
        <w:t>Tambo</w:t>
      </w:r>
      <w:proofErr w:type="spellEnd"/>
      <w:r>
        <w:rPr>
          <w:rFonts w:ascii="Times New Roman" w:hAnsi="Times New Roman" w:cs="Times New Roman"/>
          <w:sz w:val="28"/>
          <w:szCs w:val="28"/>
          <w:lang w:val="es-CO"/>
        </w:rPr>
        <w:t>.</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7. En declaración rendida ante el Tribunal de tutela el día 27 de octubre de 1993, el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dijo tener cincuenta años de edad, ser natural de la vereda del Tambo, Municipio de </w:t>
      </w:r>
      <w:proofErr w:type="spellStart"/>
      <w:r>
        <w:rPr>
          <w:rFonts w:ascii="Times New Roman" w:hAnsi="Times New Roman" w:cs="Times New Roman"/>
          <w:sz w:val="28"/>
          <w:szCs w:val="28"/>
          <w:lang w:val="es-CO"/>
        </w:rPr>
        <w:t>Coyaima</w:t>
      </w:r>
      <w:proofErr w:type="spellEnd"/>
      <w:r>
        <w:rPr>
          <w:rFonts w:ascii="Times New Roman" w:hAnsi="Times New Roman" w:cs="Times New Roman"/>
          <w:sz w:val="28"/>
          <w:szCs w:val="28"/>
          <w:lang w:val="es-CO"/>
        </w:rPr>
        <w:t>, y haber convivido en unión libre con ISABEL NARVAEZ, quien falleció dejándolo con 7 niños. Agregó que durante 11 años trabajó en la comunidad indígena de El Tambo, donde poseía una parcela de dos hectáreas, sembrada de plátano, yuca y otros frutales, la que le fue adjudicada por la comunidad, luego de su entrega por parte del INCORA, situación que vino a modificarse con la determinación de expulsarlo y de quitarle la tierra, negándole el derecho a trabajar y el reconocimiento del valor de las mejoras producidas en el predio. Sobre los motivos y la forma en que se tomó la decisión de excluirlo de la comunidad, sostuvo que las directivas del cabildo lograron su destitución como gobernador suplente en el año de 1992, acusándolo del robo de plátanos y otros elementos, imputación calumniosa que obedeció a una represalia por el hecho de haber fiscalizado el manejo de dineros por parte del gobernador de este entonces. En noviembre de 1992, afirmó, "el gobernador reunió a la comunidad y les dijo que firmaran la expulsión mía de la comunidad, quitándome el derecho de la tierra trabajada</w:t>
      </w:r>
      <w:proofErr w:type="gramStart"/>
      <w:r>
        <w:rPr>
          <w:rFonts w:ascii="Times New Roman" w:hAnsi="Times New Roman" w:cs="Times New Roman"/>
          <w:sz w:val="28"/>
          <w:szCs w:val="28"/>
          <w:lang w:val="es-CO"/>
        </w:rPr>
        <w:t>, ...</w:t>
      </w:r>
      <w:proofErr w:type="gramEnd"/>
      <w:r>
        <w:rPr>
          <w:rFonts w:ascii="Times New Roman" w:hAnsi="Times New Roman" w:cs="Times New Roman"/>
          <w:sz w:val="28"/>
          <w:szCs w:val="28"/>
          <w:lang w:val="es-CO"/>
        </w:rPr>
        <w:t xml:space="preserve"> y la comunidad me expulsó. Yo le dije que tenía unas mejoras  y que cuando no me arreglaran lo de las mejoras y de los 11 años de trabajo que tenía en la comunidad no me </w:t>
      </w:r>
      <w:proofErr w:type="gramStart"/>
      <w:r>
        <w:rPr>
          <w:rFonts w:ascii="Times New Roman" w:hAnsi="Times New Roman" w:cs="Times New Roman"/>
          <w:sz w:val="28"/>
          <w:szCs w:val="28"/>
          <w:lang w:val="es-CO"/>
        </w:rPr>
        <w:t>iba ...</w:t>
      </w:r>
      <w:proofErr w:type="gramEnd"/>
      <w:r>
        <w:rPr>
          <w:rFonts w:ascii="Times New Roman" w:hAnsi="Times New Roman" w:cs="Times New Roman"/>
          <w:sz w:val="28"/>
          <w:szCs w:val="28"/>
          <w:lang w:val="es-CO"/>
        </w:rPr>
        <w:t xml:space="preserve">". Agregó que la decisión de expulsarlo la adoptó la comunidad por mayoría y que las directivas del cabildo se negaron a reconocerle el valor de las mejoras, aduciendo que no había ley indígena que los obligara a ello.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8. En octubre 27 de 1993, el Tribunal de tutela llamó a declarar a los miembros del cabildo indígena de El Tambo, señores JOSE DEL CARMEN RAMIREZ CUPITRA, URBANO AROCA LOZANO, FIDEL YARA CONDE, EUSEBIO YARA CONDE y JOSE ALEJANDRO CAPERA TIQUE. Interrogados acerca de la existencia y organización de la comunidad indígena, así como del problema surgido con el peticionario de tutela y el procedimiento adoptado para su resolución y sobre la </w:t>
      </w:r>
      <w:r>
        <w:rPr>
          <w:rFonts w:ascii="Times New Roman" w:hAnsi="Times New Roman" w:cs="Times New Roman"/>
          <w:sz w:val="28"/>
          <w:szCs w:val="28"/>
          <w:lang w:val="es-CO"/>
        </w:rPr>
        <w:lastRenderedPageBreak/>
        <w:t>mediación del Consejo Regional Indígena del Tolima en el conflicto, los declarantes manifestaron:</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8.1 Según URBANO AROCA LOZANO, "la comunidad de El Tambo nació en 1990", como consecuencia de la unión de un grupo de familias que se organizaron hacia el año de 1985 y lograron que, en 1989, el INCORA les adjudicara un predio denominado El POIRA, según consta en el acta de entrega respectiva. La comunidad indígena es representada por su gobernador, quien administra los terrenos de la misma y vela por su adecuada utilización. A su vez, la comunidad elige cada año los integrantes del cabildo indígena, quienes formalizan su posesión ante el Alcalde Municipal de la localidad.</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8.2 El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era miembro y directivo de la comunidad indígena. Primero fue fiscal en 1991 y pasó a ser gobernador suplente en 1992, "pero con el tiempo tomó confianza y empezó a disponer de los bienes de la comunidad". Coinciden los declarantes en afirmar que al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se le acusó de la comisión de varios delitos como el saqueo de animales, cultivos, frutos, herbicidas y del hurto de un contador para el alumbrado. Sostienen que se le llamó la atención varias veces y que, al no atender las advertencias y consejos, fue expulsado por la comunidad, en reunión celebrada el día 28 de diciembre de 1992, a la que asistió el propio peticionario. Según copia del acta correspondiente a la sesión de ese día, y que fue entregada al Tribunal de primera instancia por los cabildantes, con la presencia de 37 miembros de la comunidad se decidió destituir al peticionario de su cargo: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left="851" w:right="51"/>
        <w:jc w:val="both"/>
      </w:pPr>
      <w:r>
        <w:rPr>
          <w:rFonts w:ascii="Times New Roman" w:hAnsi="Times New Roman" w:cs="Times New Roman"/>
          <w:b/>
          <w:bCs/>
          <w:sz w:val="28"/>
          <w:szCs w:val="28"/>
          <w:lang w:val="es-CO"/>
        </w:rPr>
        <w:t>"Se le encontró serias fallas, errores al compañero ANANIAS NARVAEZ que mucho tiempo atrás venía cometiendo con algunos vecinos y la misma comunidad como robo de sorgo, plátano, hojas de plátano, ovejas, un contador de la luz y venenos como insecticidas que tenía la comunidad para defender los cultivos de la misma comunidad. Se le sindica también de un potro de Emilio Peña, una burra de una señora.</w:t>
      </w:r>
    </w:p>
    <w:p w:rsidR="00117ACB" w:rsidRDefault="00117ACB" w:rsidP="00117ACB">
      <w:pPr>
        <w:ind w:left="851" w:right="51"/>
        <w:jc w:val="both"/>
      </w:pPr>
      <w:r>
        <w:rPr>
          <w:rFonts w:ascii="Times New Roman" w:hAnsi="Times New Roman" w:cs="Times New Roman"/>
          <w:b/>
          <w:bCs/>
          <w:sz w:val="28"/>
          <w:szCs w:val="28"/>
          <w:lang w:val="es-CO"/>
        </w:rPr>
        <w:t> </w:t>
      </w:r>
    </w:p>
    <w:p w:rsidR="00117ACB" w:rsidRDefault="00117ACB" w:rsidP="00117ACB">
      <w:pPr>
        <w:ind w:left="851" w:right="51"/>
        <w:jc w:val="both"/>
      </w:pPr>
      <w:r>
        <w:rPr>
          <w:rFonts w:ascii="Times New Roman" w:hAnsi="Times New Roman" w:cs="Times New Roman"/>
          <w:b/>
          <w:bCs/>
          <w:sz w:val="28"/>
          <w:szCs w:val="28"/>
          <w:lang w:val="es-CO"/>
        </w:rPr>
        <w:t xml:space="preserve">"Fue destituido del cabildo el compañero </w:t>
      </w:r>
      <w:proofErr w:type="spellStart"/>
      <w:r>
        <w:rPr>
          <w:rFonts w:ascii="Times New Roman" w:hAnsi="Times New Roman" w:cs="Times New Roman"/>
          <w:b/>
          <w:bCs/>
          <w:sz w:val="28"/>
          <w:szCs w:val="28"/>
          <w:lang w:val="es-CO"/>
        </w:rPr>
        <w:t>Ananias</w:t>
      </w:r>
      <w:proofErr w:type="spellEnd"/>
      <w:r>
        <w:rPr>
          <w:rFonts w:ascii="Times New Roman" w:hAnsi="Times New Roman" w:cs="Times New Roman"/>
          <w:b/>
          <w:bCs/>
          <w:sz w:val="28"/>
          <w:szCs w:val="28"/>
          <w:lang w:val="es-CO"/>
        </w:rPr>
        <w:t xml:space="preserve"> por la mayoría de la Asamblea General al tener conocimiento de estos robos a la misma comunidad y esconder animales como caballos y burras de cría de los vecinos en predios de la comunidad."</w:t>
      </w:r>
    </w:p>
    <w:p w:rsidR="00117ACB" w:rsidRDefault="00117ACB" w:rsidP="00117ACB">
      <w:pPr>
        <w:ind w:right="51"/>
        <w:jc w:val="both"/>
      </w:pPr>
      <w:r>
        <w:rPr>
          <w:rFonts w:ascii="Times New Roman" w:hAnsi="Times New Roman" w:cs="Times New Roman"/>
          <w:sz w:val="28"/>
          <w:szCs w:val="28"/>
          <w:lang w:val="es-CO"/>
        </w:rPr>
        <w:t xml:space="preserve">  </w:t>
      </w:r>
    </w:p>
    <w:p w:rsidR="00117ACB" w:rsidRDefault="00117ACB" w:rsidP="00117ACB">
      <w:pPr>
        <w:ind w:right="51"/>
        <w:jc w:val="both"/>
      </w:pPr>
      <w:r>
        <w:rPr>
          <w:rFonts w:ascii="Times New Roman" w:hAnsi="Times New Roman" w:cs="Times New Roman"/>
          <w:sz w:val="28"/>
          <w:szCs w:val="28"/>
          <w:lang w:val="es-CO"/>
        </w:rPr>
        <w:t xml:space="preserve">8.3 El actor, por su parte, rechazó la destitución de su cargo de gobernador suplente y la expulsión de la comunidad, y se opuso a abandonar el </w:t>
      </w:r>
      <w:r>
        <w:rPr>
          <w:rFonts w:ascii="Times New Roman" w:hAnsi="Times New Roman" w:cs="Times New Roman"/>
          <w:sz w:val="28"/>
          <w:szCs w:val="28"/>
          <w:lang w:val="es-CO"/>
        </w:rPr>
        <w:lastRenderedPageBreak/>
        <w:t xml:space="preserve">territorio hasta tanto no se le reconocieran las mejoras realizadas en la parcela. Posteriormente, manifiestan los declarantes, se lo encontró sacando comida, motivo por el que se le prohibió la entrada. Aducen que no se presentó denuncia penal ante las autoridades competentes por no perjudicarlo. En efecto, JOSE ALEJANDRO CAPERA TIQUE declaró: </w:t>
      </w:r>
    </w:p>
    <w:p w:rsidR="00117ACB" w:rsidRDefault="00117ACB" w:rsidP="00117ACB">
      <w:pPr>
        <w:ind w:left="851" w:right="51"/>
        <w:jc w:val="both"/>
      </w:pPr>
      <w:r>
        <w:rPr>
          <w:rFonts w:ascii="Times New Roman" w:hAnsi="Times New Roman" w:cs="Times New Roman"/>
          <w:b/>
          <w:bCs/>
          <w:sz w:val="28"/>
          <w:szCs w:val="28"/>
          <w:lang w:val="es-CO"/>
        </w:rPr>
        <w:t> </w:t>
      </w:r>
    </w:p>
    <w:p w:rsidR="00117ACB" w:rsidRDefault="00117ACB" w:rsidP="00117ACB">
      <w:pPr>
        <w:ind w:left="851" w:right="51"/>
        <w:jc w:val="both"/>
      </w:pPr>
      <w:r>
        <w:rPr>
          <w:rFonts w:ascii="Times New Roman" w:hAnsi="Times New Roman" w:cs="Times New Roman"/>
          <w:b/>
          <w:bCs/>
          <w:sz w:val="28"/>
          <w:szCs w:val="28"/>
          <w:lang w:val="es-CO"/>
        </w:rPr>
        <w:t xml:space="preserve">" (...) fue como en junio, no recuerdo la fecha, a principio de agosto, volvieron a decirnos que habían vuelto a pasar comida; entonces, yo como Comisario le dije a unos cuatro que fuéramos a capturarlo donde estuviera. Sí, allá lo encontramos cortando comida, le dijimos que quién le había dado permiso de cortar comida. Dijo que él tenía hambre, que los hijos se le estaban muriendo de hambre. Entonces le dije haga un favor sigue por las buenas con nosotros, o si no lo amarramos y lo llevamos a la ley ordinaria. Entonces dijo bueno yo me voy con ustedes. Camine para la reunión que ahora tenemos. Llegamos a la reunión y acordamos, el cabildo, que se llevará el plátano que había cortado, que nunca nos volviera a molestar de ninguna especie, porque lo denunciamos a la ley ordinaria, porque a uno siempre le da lástima, porque a uno siempre le da hambre y nos contestó que no necesitaba de nosotros. Se fue para </w:t>
      </w:r>
      <w:proofErr w:type="spellStart"/>
      <w:r>
        <w:rPr>
          <w:rFonts w:ascii="Times New Roman" w:hAnsi="Times New Roman" w:cs="Times New Roman"/>
          <w:b/>
          <w:bCs/>
          <w:sz w:val="28"/>
          <w:szCs w:val="28"/>
          <w:lang w:val="es-CO"/>
        </w:rPr>
        <w:t>Natagaima</w:t>
      </w:r>
      <w:proofErr w:type="spellEnd"/>
      <w:r>
        <w:rPr>
          <w:rFonts w:ascii="Times New Roman" w:hAnsi="Times New Roman" w:cs="Times New Roman"/>
          <w:b/>
          <w:bCs/>
          <w:sz w:val="28"/>
          <w:szCs w:val="28"/>
          <w:lang w:val="es-CO"/>
        </w:rPr>
        <w:t>."</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8.4. El Consejo Regional Indígena del Tolima - CRIT -, agregan, intervino con el fin de buscar una solución al conflicto. No obstante, no fue posible llegar a un acuerdo sobre el valor de las mejoras entre el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y la comunidad. Mientras que algunos de los integrantes del cabildo indígena niegan que tenga derecho a las mismas, porque "en las comunidades indígenas no se pagan mejoras a un compañero que cometa errores por más de tres veces ni tampoco se le paga la tierra que ayudó a recuperar", como lo afirma EUSEBIO YARA CONDE, otros como URBANO AROCA LOZANO y JOSE ALEJANDRO CAPERA TIQUE, reconocen que sí tiene derecho a las mejoras y que la comunidad no se niega a pagarlas, pero que no ha sido posible llegar a un acuerdo sobre su valor. Según AROCA LOZANO, ANANIAS NARVAEZ exige el pago de tres millones de pesos, y la comunidad valora las mejoras en 500 mil pesos, a los que debe restarse una deuda pendiente que el actor tiene con la comunidad y que asciende a 365 mil pesos. Por su parte, CAPERA TIQUE afirma que la deuda del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es mucho mayor, ya que la directiva de la que hacía parte ANANIAS NARVAEZ en 1991 y 1992 dejó una deuda de 30 millones de pesos.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lastRenderedPageBreak/>
        <w:t xml:space="preserve">8.5. De las declaraciones rendidas al Tribunal de primera instancia por los miembros del cabildo de El Tambo, tampoco es posible determinar el tiempo durante el cual el actor formó parte de la comunidad o si residía en el territorio de la misma ya que mientras algunos de los declarantes afirman conocerlo hace 6 años y no haber vivido allí, otros sostienen que era miembro desde 1985 y que sólo hasta que fue expulsado se ausentó de la zona para ir a radicarse en </w:t>
      </w:r>
      <w:proofErr w:type="spellStart"/>
      <w:r>
        <w:rPr>
          <w:rFonts w:ascii="Times New Roman" w:hAnsi="Times New Roman" w:cs="Times New Roman"/>
          <w:sz w:val="28"/>
          <w:szCs w:val="28"/>
          <w:lang w:val="es-CO"/>
        </w:rPr>
        <w:t>Natagaima</w:t>
      </w:r>
      <w:proofErr w:type="spellEnd"/>
      <w:r>
        <w:rPr>
          <w:rFonts w:ascii="Times New Roman" w:hAnsi="Times New Roman" w:cs="Times New Roman"/>
          <w:sz w:val="28"/>
          <w:szCs w:val="28"/>
          <w:lang w:val="es-CO"/>
        </w:rPr>
        <w:t xml:space="preserve"> con su familia.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9. La Sala Penal del Tribunal Superior del Distrito Judicial del Tolima, mediante sentencia de noviembre 4 de 1993, denegó la tutela interpuesta. Diversas consideraciones llevaron al Tribunal de instancia a desechar las pretensiones del actor.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9.1 Aun cuando el juzgador de instancia encontró probada la existencia de la comunidad indígena de El Tambo, con fundamento en el acta de posesión de los integrantes de sus autoridades o directivas ante el Alcalde Municipal de </w:t>
      </w:r>
      <w:proofErr w:type="spellStart"/>
      <w:r>
        <w:rPr>
          <w:rFonts w:ascii="Times New Roman" w:hAnsi="Times New Roman" w:cs="Times New Roman"/>
          <w:sz w:val="28"/>
          <w:szCs w:val="28"/>
          <w:lang w:val="es-CO"/>
        </w:rPr>
        <w:t>Natagaima</w:t>
      </w:r>
      <w:proofErr w:type="spellEnd"/>
      <w:r>
        <w:rPr>
          <w:rFonts w:ascii="Times New Roman" w:hAnsi="Times New Roman" w:cs="Times New Roman"/>
          <w:sz w:val="28"/>
          <w:szCs w:val="28"/>
          <w:lang w:val="es-CO"/>
        </w:rPr>
        <w:t>, lo cierto es que, a su juicio, la decisión de expulsión, atribuida a los miembros del cabildo indígena, había sido adoptada por la comunidad, reunida en asamblea general, hecho que permite concluir que se trataba de un acto democrático, y no de un acto judicial conforme al artículo 246 de la Carta.</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9.2 El Tribunal de tutela entendió el acto de expulsión como ejercicio legítimo del derecho a la libre asociación (CP art.38). A la luz del principio de que "nadie está obligado a continuar asociado en contra de su </w:t>
      </w:r>
      <w:proofErr w:type="gramStart"/>
      <w:r>
        <w:rPr>
          <w:rFonts w:ascii="Times New Roman" w:hAnsi="Times New Roman" w:cs="Times New Roman"/>
          <w:sz w:val="28"/>
          <w:szCs w:val="28"/>
          <w:lang w:val="es-CO"/>
        </w:rPr>
        <w:t>voluntad ...</w:t>
      </w:r>
      <w:proofErr w:type="gramEnd"/>
      <w:r>
        <w:rPr>
          <w:rFonts w:ascii="Times New Roman" w:hAnsi="Times New Roman" w:cs="Times New Roman"/>
          <w:sz w:val="28"/>
          <w:szCs w:val="28"/>
          <w:lang w:val="es-CO"/>
        </w:rPr>
        <w:t xml:space="preserve"> ni menos a permanecer en comunidad ilíquida", reconoció que los miembros de la comunidad tenían derecho a admitirlo o a esquivarlo, decisión ésta última que finalmente adoptaron, según sus usos y costumbres, dándole oportunidad al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de que conociera la situación en que se encontraba, por votación general que terminó con su expulsión. A juicio del fallador, los estatutos o escrituras de constitución de las instituciones privadas regulan los trámites de exclusión de los miembros, por lo que "una determinación de esta clase no se puede equiparar a un acto administrativo o a un pronunciamiento judicial, más cuando de la costumbre se trata". La violación del derecho al debido proceso - agrega -, "no es fundamento para obligar a que se tenga que padecer la asociación con quien no se desea, sino tema del proceso civil para la indemnización o pago de mejoras".</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9.3. En lo que atañe a las pretensiones patrimoniales correspondientes al valor de las mejoras y al reconocimiento económico del trabajo realizado, estimó el Tribunal que la vía judicial no era la acción de tutela,  sino el proceso laboral o el civil. En cuanto a la posible división del bien poseído </w:t>
      </w:r>
      <w:r>
        <w:rPr>
          <w:rFonts w:ascii="Times New Roman" w:hAnsi="Times New Roman" w:cs="Times New Roman"/>
          <w:sz w:val="28"/>
          <w:szCs w:val="28"/>
          <w:lang w:val="es-CO"/>
        </w:rPr>
        <w:lastRenderedPageBreak/>
        <w:t>colectivamente, consideró que esta opción estaba excluida para los resguardos o territorios indígenas, de conformidad con el artículo 18 del Decreto 2001 de 1988.</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9.4. Por último, el juzgador de primera instancia afirmó que tampoco habría sido factible la tutela transitoria o provisional bajo la hipótesis - previamente descartada - de que se hubiera vulnerado algún derecho fundamental del peticionario, ya que el actor se encontraba ante un hecho cumplido: su expulsión desde diciembre de 1992.</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10. El apoderado del peticionario impugnó la decisión de la Sala Penal del Tribunal Superior del Tolima. Insistió en que la acción de tutela iba dirigida contra el cabildo indígena de El Tambo, que en virtud de lo dispuesto en el artículo 2º del Decreto 2001 de 1988, es un ente de derecho público. "Afirmar - dijo -, que el cabildo indígena puede "esquivar" a ANANIAS NARVAEZ es tanto así como aceptar que una junta de acción comunal de un barrio puede expulsar a cualquier vecino, además, las asociaciones cualquiera sea su carácter no pueden violar derechos constitucionales fundamentales; sus actuaciones deben estar ceñidas a la ley". El impugnante resaltó la facultad de administrar justicia otorgada constitucionalmente a los cabildos, los cuales, en su ejercicio, deben respetar todos los preceptos constitucionales.</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left="851" w:right="51"/>
        <w:jc w:val="both"/>
      </w:pPr>
      <w:r>
        <w:rPr>
          <w:rFonts w:ascii="Times New Roman" w:hAnsi="Times New Roman" w:cs="Times New Roman"/>
          <w:b/>
          <w:bCs/>
          <w:sz w:val="28"/>
          <w:szCs w:val="28"/>
          <w:lang w:val="es-CO"/>
        </w:rPr>
        <w:t xml:space="preserve">"Los cabildos indígenas al emitir juicios de valor sobre comportamientos delictuosos de sus miembros, por su carácter público están tomando decisiones con categoría de pronunciamiento judicial, actuaciones que no sobra repetirlo cuentan con sustento constitucional, de lo que se puede colegir que sí ocurrió flagrante violación del principio del debido proceso y consecuencialmente vulneración de los derechos a la intimidad y al buen nombre de Ananías </w:t>
      </w:r>
      <w:proofErr w:type="spellStart"/>
      <w:r>
        <w:rPr>
          <w:rFonts w:ascii="Times New Roman" w:hAnsi="Times New Roman" w:cs="Times New Roman"/>
          <w:b/>
          <w:bCs/>
          <w:sz w:val="28"/>
          <w:szCs w:val="28"/>
          <w:lang w:val="es-CO"/>
        </w:rPr>
        <w:t>Narvaez</w:t>
      </w:r>
      <w:proofErr w:type="spellEnd"/>
      <w:r>
        <w:rPr>
          <w:rFonts w:ascii="Times New Roman" w:hAnsi="Times New Roman" w:cs="Times New Roman"/>
          <w:b/>
          <w:bCs/>
          <w:sz w:val="28"/>
          <w:szCs w:val="28"/>
          <w:lang w:val="es-CO"/>
        </w:rPr>
        <w:t xml:space="preserve">".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11. El Gerente General del Instituto Colombiano de Reforma Agraria, INCORA, con posterioridad a la sentencia de primera instancia, mediante oficio 6.3 #21596 de noviembre 24 de 1993, remitió al Tribunal de tutela, copia del acta Nº 5 de febrero 9 de 1993, que  correspondió a la reunión donde se eligió el Cabildo Indígena de El </w:t>
      </w:r>
      <w:proofErr w:type="spellStart"/>
      <w:r>
        <w:rPr>
          <w:rFonts w:ascii="Times New Roman" w:hAnsi="Times New Roman" w:cs="Times New Roman"/>
          <w:sz w:val="28"/>
          <w:szCs w:val="28"/>
          <w:lang w:val="es-CO"/>
        </w:rPr>
        <w:t>Tambo</w:t>
      </w:r>
      <w:proofErr w:type="spellEnd"/>
      <w:r>
        <w:rPr>
          <w:rFonts w:ascii="Times New Roman" w:hAnsi="Times New Roman" w:cs="Times New Roman"/>
          <w:sz w:val="28"/>
          <w:szCs w:val="28"/>
          <w:lang w:val="es-CO"/>
        </w:rPr>
        <w:t xml:space="preserve"> y del documento de posesión del mismo ante la Alcaldía Municipal de </w:t>
      </w:r>
      <w:proofErr w:type="spellStart"/>
      <w:r>
        <w:rPr>
          <w:rFonts w:ascii="Times New Roman" w:hAnsi="Times New Roman" w:cs="Times New Roman"/>
          <w:sz w:val="28"/>
          <w:szCs w:val="28"/>
          <w:lang w:val="es-CO"/>
        </w:rPr>
        <w:t>Coyaima</w:t>
      </w:r>
      <w:proofErr w:type="spellEnd"/>
      <w:r>
        <w:rPr>
          <w:rFonts w:ascii="Times New Roman" w:hAnsi="Times New Roman" w:cs="Times New Roman"/>
          <w:sz w:val="28"/>
          <w:szCs w:val="28"/>
          <w:lang w:val="es-CO"/>
        </w:rPr>
        <w:t>. En lo que respecta a las tierras ocupadas por la comunidad manifestó que "a dicha parcialidad el Instituto entregó el predio EL POIRA, el cual será legalizado en calidad de Resguardo, una vez se adelante el trámite previsto por el Capítulo III del Decreto 2001 de 1988".</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lastRenderedPageBreak/>
        <w:t xml:space="preserve">12. La Sala Penal de la Corte Suprema de Justicia, mediante sentencia del 14 de diciembre de 1993, confirmó la decisión impugnada. El alto Tribunal </w:t>
      </w:r>
      <w:proofErr w:type="spellStart"/>
      <w:r>
        <w:rPr>
          <w:rFonts w:ascii="Times New Roman" w:hAnsi="Times New Roman" w:cs="Times New Roman"/>
          <w:sz w:val="28"/>
          <w:szCs w:val="28"/>
          <w:lang w:val="es-CO"/>
        </w:rPr>
        <w:t>dió</w:t>
      </w:r>
      <w:proofErr w:type="spellEnd"/>
      <w:r>
        <w:rPr>
          <w:rFonts w:ascii="Times New Roman" w:hAnsi="Times New Roman" w:cs="Times New Roman"/>
          <w:sz w:val="28"/>
          <w:szCs w:val="28"/>
          <w:lang w:val="es-CO"/>
        </w:rPr>
        <w:t xml:space="preserve"> por demostrado que, a solicitud de la mayoría de los miembros de la comunidad de El Tambo, sus directivas dispusieron la expulsión del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a quien ya "se le había reclamado por su comportamiento contrario a los intereses de la comunidad indígena, como lo fueron el hurto de cultivos, semovientes y por último fungicidas, estos de uso colectivo". El fallador de segunda instancia resaltó la naturaleza de </w:t>
      </w:r>
      <w:r>
        <w:rPr>
          <w:rFonts w:ascii="Times New Roman" w:hAnsi="Times New Roman" w:cs="Times New Roman"/>
          <w:b/>
          <w:bCs/>
          <w:sz w:val="28"/>
          <w:szCs w:val="28"/>
          <w:lang w:val="es-CO"/>
        </w:rPr>
        <w:t>entidades públicas</w:t>
      </w:r>
      <w:r>
        <w:rPr>
          <w:rFonts w:ascii="Times New Roman" w:hAnsi="Times New Roman" w:cs="Times New Roman"/>
          <w:sz w:val="28"/>
          <w:szCs w:val="28"/>
          <w:lang w:val="es-CO"/>
        </w:rPr>
        <w:t xml:space="preserve"> que ostentan los cabildos indígenas, "cuyos miembros son elegidos y reconocidos por una parcialidad localizada en un determinado territorio, encargados de representar legalmente a su grupo y ejercer las funciones que le atribuye la ley, sus usos y costumbres, situación igualmente consagrada en los artículos 329 y 330 de la Carta Política". Consideró que la expulsión del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no había sido arbitraria y que el reconocimiento de mejoras pretendido por el actor era un asunto no susceptible de ser resuelto por vía de la acción de tutela.</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left="851" w:right="51"/>
        <w:jc w:val="both"/>
      </w:pPr>
      <w:r>
        <w:rPr>
          <w:rFonts w:ascii="Times New Roman" w:hAnsi="Times New Roman" w:cs="Times New Roman"/>
          <w:b/>
          <w:bCs/>
          <w:sz w:val="28"/>
          <w:szCs w:val="28"/>
          <w:lang w:val="es-CO"/>
        </w:rPr>
        <w:t xml:space="preserve">"Entonces, ante el clamor de la casi totalidad de los miembros de la Comunidad Indígena del Tambo, cuyo asentamiento se halla en el Municipio de </w:t>
      </w:r>
      <w:proofErr w:type="spellStart"/>
      <w:r>
        <w:rPr>
          <w:rFonts w:ascii="Times New Roman" w:hAnsi="Times New Roman" w:cs="Times New Roman"/>
          <w:b/>
          <w:bCs/>
          <w:sz w:val="28"/>
          <w:szCs w:val="28"/>
          <w:lang w:val="es-CO"/>
        </w:rPr>
        <w:t>Coyaima</w:t>
      </w:r>
      <w:proofErr w:type="spellEnd"/>
      <w:r>
        <w:rPr>
          <w:rFonts w:ascii="Times New Roman" w:hAnsi="Times New Roman" w:cs="Times New Roman"/>
          <w:b/>
          <w:bCs/>
          <w:sz w:val="28"/>
          <w:szCs w:val="28"/>
          <w:lang w:val="es-CO"/>
        </w:rPr>
        <w:t xml:space="preserve"> (Tolima), en Asamblea General, realizada el 28 de diciembre de 1992, según consta en documento visible a folio 45 del informativo, la expulsión de ANANIAS NARVAEZ de la Comunidad, en manera alguna se muestra arbitraria, pues fue la consecuencia de la reiteración de conductas contrarias a sus costumbres y normas internas, sanción que le fuera aplicada luego de varias amonestaciones por parte de las directivas indígenas.</w:t>
      </w:r>
    </w:p>
    <w:p w:rsidR="00117ACB" w:rsidRDefault="00117ACB" w:rsidP="00117ACB">
      <w:pPr>
        <w:ind w:left="851" w:right="51"/>
        <w:jc w:val="both"/>
      </w:pPr>
      <w:r>
        <w:rPr>
          <w:rFonts w:ascii="Times New Roman" w:hAnsi="Times New Roman" w:cs="Times New Roman"/>
          <w:b/>
          <w:bCs/>
          <w:sz w:val="28"/>
          <w:szCs w:val="28"/>
          <w:lang w:val="es-CO"/>
        </w:rPr>
        <w:t> </w:t>
      </w:r>
    </w:p>
    <w:p w:rsidR="00117ACB" w:rsidRDefault="00117ACB" w:rsidP="00117ACB">
      <w:pPr>
        <w:ind w:left="851" w:right="51"/>
        <w:jc w:val="both"/>
      </w:pPr>
      <w:r>
        <w:rPr>
          <w:rFonts w:ascii="Times New Roman" w:hAnsi="Times New Roman" w:cs="Times New Roman"/>
          <w:b/>
          <w:bCs/>
          <w:sz w:val="28"/>
          <w:szCs w:val="28"/>
          <w:lang w:val="es-CO"/>
        </w:rPr>
        <w:t>...</w:t>
      </w:r>
    </w:p>
    <w:p w:rsidR="00117ACB" w:rsidRDefault="00117ACB" w:rsidP="00117ACB">
      <w:pPr>
        <w:ind w:left="851" w:right="51"/>
        <w:jc w:val="both"/>
      </w:pPr>
      <w:r>
        <w:rPr>
          <w:rFonts w:ascii="Times New Roman" w:hAnsi="Times New Roman" w:cs="Times New Roman"/>
          <w:b/>
          <w:bCs/>
          <w:sz w:val="28"/>
          <w:szCs w:val="28"/>
          <w:lang w:val="es-CO"/>
        </w:rPr>
        <w:t> </w:t>
      </w:r>
    </w:p>
    <w:p w:rsidR="00117ACB" w:rsidRDefault="00117ACB" w:rsidP="00117ACB">
      <w:pPr>
        <w:ind w:left="851" w:right="51"/>
        <w:jc w:val="both"/>
      </w:pPr>
      <w:r>
        <w:rPr>
          <w:rFonts w:ascii="Times New Roman" w:hAnsi="Times New Roman" w:cs="Times New Roman"/>
          <w:b/>
          <w:bCs/>
          <w:sz w:val="28"/>
          <w:szCs w:val="28"/>
          <w:lang w:val="es-CO"/>
        </w:rPr>
        <w:t>"Ante el fracaso de las conversaciones entre el accionante y los directivos de la comunidad, con relación a la única pretensión de aquél, es decir, el reconocimiento de mejoras, es asunto que no puede ser atendido por vía de tutela, pues el actor dispone de medios o recursos para hacer valer sus derechos y por lo mismo, se torna improcedente el amparo demandado, al tenor de lo previsto en el numeral 1º del artículo 6º del Decreto 2591 de 1991".</w:t>
      </w:r>
    </w:p>
    <w:p w:rsidR="00117ACB" w:rsidRDefault="00117ACB" w:rsidP="00117ACB">
      <w:pPr>
        <w:ind w:left="851" w:right="51"/>
        <w:jc w:val="both"/>
      </w:pPr>
      <w:r>
        <w:rPr>
          <w:rFonts w:ascii="Times New Roman" w:hAnsi="Times New Roman" w:cs="Times New Roman"/>
          <w:b/>
          <w:bCs/>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13. A solicitud del magistrado ponente, el Gerente General del Instituto de Reforma Agraria, INCORA, remitió con destino al proceso de la referencia copia del acta de entrega de 184 hectáreas de la Hacienda EL POIRA (predio El Mangón), a la comunidad indígena de El Tambo, realizada el </w:t>
      </w:r>
      <w:r>
        <w:rPr>
          <w:rFonts w:ascii="Times New Roman" w:hAnsi="Times New Roman" w:cs="Times New Roman"/>
          <w:sz w:val="28"/>
          <w:szCs w:val="28"/>
          <w:lang w:val="es-CO"/>
        </w:rPr>
        <w:lastRenderedPageBreak/>
        <w:t xml:space="preserve">día 6 de octubre de 1989. Informó que el estudio socio-económico y jurídico de esta parcialidad indígena "no se ha realizado por cuanto el Consejo Regional Indígena del Tolima - CRIT -, alegaba la existencia y vigencia legal del título de Resguardo Colonial de </w:t>
      </w:r>
      <w:proofErr w:type="spellStart"/>
      <w:r>
        <w:rPr>
          <w:rFonts w:ascii="Times New Roman" w:hAnsi="Times New Roman" w:cs="Times New Roman"/>
          <w:sz w:val="28"/>
          <w:szCs w:val="28"/>
          <w:lang w:val="es-CO"/>
        </w:rPr>
        <w:t>Coyaima</w:t>
      </w:r>
      <w:proofErr w:type="spellEnd"/>
      <w:r>
        <w:rPr>
          <w:rFonts w:ascii="Times New Roman" w:hAnsi="Times New Roman" w:cs="Times New Roman"/>
          <w:sz w:val="28"/>
          <w:szCs w:val="28"/>
          <w:lang w:val="es-CO"/>
        </w:rPr>
        <w:t xml:space="preserve">-Ortega y Chaparral, no permitiendo la realización de los estudios". Sin embargo, agrega, según oficio del CRIT de fecha 14 de abril de 1994, esta agremiación ha solicitado al INCORA la iniciación de los trámites tendentes a constituir en resguardos a las parcialidades del Tolima, por lo que "el Instituto para la presente vigencia ha programado la realización de los estudios para la Comunidad de El Tambo".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14. La anterior decisión fue seleccionada para revisión y correspondió a esta Sala su conocimiento.</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center"/>
      </w:pPr>
      <w:r>
        <w:rPr>
          <w:rFonts w:ascii="Times New Roman" w:hAnsi="Times New Roman" w:cs="Times New Roman"/>
          <w:b/>
          <w:bCs/>
          <w:sz w:val="28"/>
          <w:szCs w:val="28"/>
          <w:lang w:val="es-CO"/>
        </w:rPr>
        <w:t>FUNDAMENTOS JURIDICOS</w:t>
      </w:r>
    </w:p>
    <w:p w:rsidR="00117ACB" w:rsidRDefault="00117ACB" w:rsidP="00117ACB">
      <w:pPr>
        <w:ind w:right="51"/>
        <w:jc w:val="center"/>
      </w:pPr>
      <w:r>
        <w:rPr>
          <w:rFonts w:ascii="Times New Roman" w:hAnsi="Times New Roman" w:cs="Times New Roman"/>
          <w:b/>
          <w:bCs/>
          <w:sz w:val="28"/>
          <w:szCs w:val="28"/>
          <w:lang w:val="es-CO"/>
        </w:rPr>
        <w:t> </w:t>
      </w:r>
    </w:p>
    <w:p w:rsidR="00117ACB" w:rsidRDefault="00117ACB" w:rsidP="00117ACB">
      <w:pPr>
        <w:ind w:right="51"/>
        <w:jc w:val="both"/>
      </w:pPr>
      <w:r>
        <w:rPr>
          <w:rFonts w:ascii="Times New Roman" w:hAnsi="Times New Roman" w:cs="Times New Roman"/>
          <w:b/>
          <w:bCs/>
          <w:sz w:val="28"/>
          <w:szCs w:val="28"/>
          <w:lang w:val="es-CO"/>
        </w:rPr>
        <w:t>Problema jurídico planteado</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right="51"/>
        <w:jc w:val="both"/>
      </w:pPr>
      <w:r>
        <w:rPr>
          <w:rFonts w:ascii="Times New Roman" w:hAnsi="Times New Roman" w:cs="Times New Roman"/>
          <w:sz w:val="28"/>
          <w:szCs w:val="28"/>
          <w:lang w:val="es-CO"/>
        </w:rPr>
        <w:t>1.</w:t>
      </w:r>
      <w:r>
        <w:rPr>
          <w:rFonts w:ascii="Times New Roman" w:hAnsi="Times New Roman" w:cs="Times New Roman"/>
          <w:b/>
          <w:bCs/>
          <w:sz w:val="28"/>
          <w:szCs w:val="28"/>
          <w:lang w:val="es-CO"/>
        </w:rPr>
        <w:t xml:space="preserve"> </w:t>
      </w:r>
      <w:r>
        <w:rPr>
          <w:rFonts w:ascii="Times New Roman" w:hAnsi="Times New Roman" w:cs="Times New Roman"/>
          <w:sz w:val="28"/>
          <w:szCs w:val="28"/>
          <w:lang w:val="es-CO"/>
        </w:rPr>
        <w:t xml:space="preserve">El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acusa al cabildo indígena de El Tambo de vulnerar el derecho fundamental al debido proceso y de desconocer la prohibición constitucional de las penas de destierro y confiscación, por la expulsión de que fue objeto por parte de la comunidad indígena, pese a que las imputaciones hechas en su contra carecieron de sustento probatorio, la decisión de expulsión fue tomada bajo presiones y amenazas del Gobernador indígena y no se le reconocieron las mejoras correspondientes al trabajo de 11 años en la parcela que le había sido asignada por la propia comunidad. Adicionalmente, sostiene que el acto acusado viola sus derechos a la honra, al buen nombre y al trabajo - por carecer de habilidades para trabajar en la zona urbana donde actualmente reside -, y amenaza su derecho a la vida, dado que la región se caracteriza por problemas de orden público y presencia de personas y grupos que aplican justicia por su propia mano.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2. El Tribunal de primera instancia denegó la tutela por considerar que la decisión comunitaria de expulsión adoptada por la comunidad indígena en contra del actor se adoptó en ejercicio de su derecho de libre asociación (CP art. 38), y no tenía el carácter de acto administrativo o judicial proveniente de las autoridades que integran el cabildo. Estimó, además, improcedente la acción de tutela para obtener el pago de mejoras por existir otros medios de defensa judicial - los procesos civil y laboral -, no pudiéndose admitir tampoco la acción de tutela como mecanismo </w:t>
      </w:r>
      <w:r>
        <w:rPr>
          <w:rFonts w:ascii="Times New Roman" w:hAnsi="Times New Roman" w:cs="Times New Roman"/>
          <w:sz w:val="28"/>
          <w:szCs w:val="28"/>
          <w:lang w:val="es-CO"/>
        </w:rPr>
        <w:lastRenderedPageBreak/>
        <w:t xml:space="preserve">transitorio por haberse consumado el daño. La Sala Penal de la Corte Suprema de Justicia, por su parte, confirmó la sentencia impugnada. Encontró demostrado que la sanción no fue arbitraria y que se impuso luego de varias amonestaciones hechas al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por la comisión de conductas contrarias a las costumbres y normas internas. Además, avaló la sentencia de tutela por no ser esta acción la vía procesal adecuada para el reconocimiento de mejoras.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Corresponde a la Corte Constitucional (CP art. 241-9), en sede de revisión, determinar la procedencia de la acción de tutela contra el cabildo indígena de El </w:t>
      </w:r>
      <w:proofErr w:type="spellStart"/>
      <w:r>
        <w:rPr>
          <w:rFonts w:ascii="Times New Roman" w:hAnsi="Times New Roman" w:cs="Times New Roman"/>
          <w:sz w:val="28"/>
          <w:szCs w:val="28"/>
          <w:lang w:val="es-CO"/>
        </w:rPr>
        <w:t>Tambo</w:t>
      </w:r>
      <w:proofErr w:type="spellEnd"/>
      <w:r>
        <w:rPr>
          <w:rFonts w:ascii="Times New Roman" w:hAnsi="Times New Roman" w:cs="Times New Roman"/>
          <w:sz w:val="28"/>
          <w:szCs w:val="28"/>
          <w:lang w:val="es-CO"/>
        </w:rPr>
        <w:t xml:space="preserve"> y establecer si la decisión adoptada por la comunidad indígena representada por éste, es un acto susceptible de control judicial que haya vulnerado los derechos fundamentales del peticionario.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b/>
          <w:bCs/>
          <w:sz w:val="28"/>
          <w:szCs w:val="28"/>
          <w:lang w:val="es-CO"/>
        </w:rPr>
        <w:t xml:space="preserve">Procedencia de la acción de tutela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3. Según el Tribunal de primera instancia, el acto, cuya anulación pretende el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no provino de la directiva o cabildo indígena, sino de la comunidad indígena misma. A su juicio, se trata entonces de una acción particular emanada de los miembros de la comunidad en ejercicio de la libertad de asociación y no de un acto de justicia especial conforme al artículo 246 de la Constitución, razón suficiente para declarar improcedente la acción de tutela.</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sidRPr="006737F6">
        <w:rPr>
          <w:rFonts w:ascii="Times New Roman" w:hAnsi="Times New Roman" w:cs="Times New Roman"/>
          <w:sz w:val="28"/>
          <w:szCs w:val="28"/>
          <w:highlight w:val="yellow"/>
          <w:lang w:val="es-CO"/>
        </w:rPr>
        <w:t>Los cabildos indígenas son entidades públicas especiales encargadas de representar legalmente a sus grupos y ejercer las funciones que les atribuyen la ley, sus usos y costumbres (D. 2001 de 1988, art. 2o.). Bajo esta lógica, las acciones o demandas dirigidas contra el grupo o comunidad indígena pueden válidamente ser dirigidas contra su representante legal.</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Aspecto diferente es el relacionado con la capacidad de los particulares para ser sujetos pasivos de acciones de tutela, hipótesis excepcional que sólo es viable en los casos taxativamente dispuestos en la ley. En efecto, el numeral 4o. del artículo 42 del Decreto 2591 de 1991 establece la procedencia de la acción de tutela contra organizaciones privadas, o contra su beneficiario real, respecto de las cuales el peticionario se encuentra en situación de subordinación o indefensión.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sidRPr="006737F6">
        <w:rPr>
          <w:rFonts w:ascii="Times New Roman" w:hAnsi="Times New Roman" w:cs="Times New Roman"/>
          <w:sz w:val="28"/>
          <w:szCs w:val="28"/>
          <w:highlight w:val="yellow"/>
          <w:lang w:val="es-CO"/>
        </w:rPr>
        <w:t xml:space="preserve">Las parcialidades o comunidades indígenas son definidas por la legislación como "conjunto de familias de ascendencia amerindia que comparten sentimientos de identificación con su pasado aborigen, manteniendo rasgos y valores propios de su cultura tradicional, así como formas de gobierno y </w:t>
      </w:r>
      <w:r w:rsidRPr="006737F6">
        <w:rPr>
          <w:rFonts w:ascii="Times New Roman" w:hAnsi="Times New Roman" w:cs="Times New Roman"/>
          <w:sz w:val="28"/>
          <w:szCs w:val="28"/>
          <w:highlight w:val="yellow"/>
          <w:lang w:val="es-CO"/>
        </w:rPr>
        <w:lastRenderedPageBreak/>
        <w:t>control social internos que los distinguen de otras comunidades rurales" (D.2001, art.2o). Las comunidades indígenas son verdaderas organizaciones, sujetos de derechos y obligaciones</w:t>
      </w:r>
      <w:bookmarkStart w:id="0" w:name="_ftnref1"/>
      <w:r w:rsidR="006F6234" w:rsidRPr="006737F6">
        <w:rPr>
          <w:rFonts w:ascii="Times New Roman" w:hAnsi="Times New Roman" w:cs="Times New Roman"/>
          <w:sz w:val="28"/>
          <w:szCs w:val="28"/>
          <w:highlight w:val="yellow"/>
          <w:lang w:val="es-CO"/>
        </w:rPr>
        <w:fldChar w:fldCharType="begin"/>
      </w:r>
      <w:r w:rsidRPr="006737F6">
        <w:rPr>
          <w:rFonts w:ascii="Times New Roman" w:hAnsi="Times New Roman" w:cs="Times New Roman"/>
          <w:sz w:val="28"/>
          <w:szCs w:val="28"/>
          <w:highlight w:val="yellow"/>
          <w:lang w:val="es-CO"/>
        </w:rPr>
        <w:instrText xml:space="preserve"> HYPERLINK "http://www.corteconstitucional.gov.co/relatoria/1994/t-254-94.htm" \l "_ftn1" \o "" </w:instrText>
      </w:r>
      <w:r w:rsidR="006F6234" w:rsidRPr="006737F6">
        <w:rPr>
          <w:rFonts w:ascii="Times New Roman" w:hAnsi="Times New Roman" w:cs="Times New Roman"/>
          <w:sz w:val="28"/>
          <w:szCs w:val="28"/>
          <w:highlight w:val="yellow"/>
          <w:lang w:val="es-CO"/>
        </w:rPr>
        <w:fldChar w:fldCharType="separate"/>
      </w:r>
      <w:r w:rsidRPr="006737F6">
        <w:rPr>
          <w:rStyle w:val="Refdenotaalpie"/>
          <w:rFonts w:ascii="Times New Roman" w:hAnsi="Times New Roman" w:cs="Times New Roman"/>
          <w:color w:val="0000FF"/>
          <w:sz w:val="28"/>
          <w:szCs w:val="28"/>
          <w:u w:val="single"/>
          <w:lang w:val="es-CO"/>
        </w:rPr>
        <w:t>1</w:t>
      </w:r>
      <w:r w:rsidR="006F6234" w:rsidRPr="006737F6">
        <w:rPr>
          <w:rFonts w:ascii="Times New Roman" w:hAnsi="Times New Roman" w:cs="Times New Roman"/>
          <w:sz w:val="28"/>
          <w:szCs w:val="28"/>
          <w:highlight w:val="yellow"/>
          <w:lang w:val="es-CO"/>
        </w:rPr>
        <w:fldChar w:fldCharType="end"/>
      </w:r>
      <w:bookmarkEnd w:id="0"/>
      <w:r w:rsidRPr="006737F6">
        <w:rPr>
          <w:rFonts w:ascii="Times New Roman" w:hAnsi="Times New Roman" w:cs="Times New Roman"/>
          <w:sz w:val="28"/>
          <w:szCs w:val="28"/>
          <w:highlight w:val="yellow"/>
          <w:lang w:val="es-CO"/>
        </w:rPr>
        <w:t xml:space="preserve"> , que, por medio de sus autoridades, ejercen poder sobre los miembros que las integran hasta el extremo de adoptar su propia modalidad de gobierno y de ejercer control social. Respecto de las decisiones de la comunidad que afectan a uno de sus integrantes, no existen medios de defensa judicial. En consecuencia, el </w:t>
      </w:r>
      <w:proofErr w:type="spellStart"/>
      <w:r w:rsidRPr="006737F6">
        <w:rPr>
          <w:rFonts w:ascii="Times New Roman" w:hAnsi="Times New Roman" w:cs="Times New Roman"/>
          <w:sz w:val="28"/>
          <w:szCs w:val="28"/>
          <w:highlight w:val="yellow"/>
          <w:lang w:val="es-CO"/>
        </w:rPr>
        <w:t>petente</w:t>
      </w:r>
      <w:proofErr w:type="spellEnd"/>
      <w:r w:rsidRPr="006737F6">
        <w:rPr>
          <w:rFonts w:ascii="Times New Roman" w:hAnsi="Times New Roman" w:cs="Times New Roman"/>
          <w:sz w:val="28"/>
          <w:szCs w:val="28"/>
          <w:highlight w:val="yellow"/>
          <w:lang w:val="es-CO"/>
        </w:rPr>
        <w:t xml:space="preserve"> se encuentra en situación de indefensión respecto de una organización privada, la comunidad indígena, razón por la que está constitucional y legalmente habilitado para ejercer la acción de tutela en defensa de sus derechos fundamentales.</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right="51"/>
        <w:jc w:val="both"/>
      </w:pPr>
      <w:r>
        <w:rPr>
          <w:rFonts w:ascii="Times New Roman" w:hAnsi="Times New Roman" w:cs="Times New Roman"/>
          <w:b/>
          <w:bCs/>
          <w:sz w:val="28"/>
          <w:szCs w:val="28"/>
          <w:lang w:val="es-CO"/>
        </w:rPr>
        <w:t>Naturaleza  de la decisión de expulsión</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4. El Tribunal de primera instancia considera que la decisión de expulsión es producto del ejercicio de la libertad de asociación protegida por la normatividad constitucional, ya que "nadie está obligado a continuar asociado en contra de su voluntad". De esta manera, el fallador de tutela excluye la posibilidad de que el acto por el que se impuso una sanción al peticionario sea un acto arbitrario.</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sidRPr="006737F6">
        <w:rPr>
          <w:rFonts w:ascii="Times New Roman" w:hAnsi="Times New Roman" w:cs="Times New Roman"/>
          <w:sz w:val="28"/>
          <w:szCs w:val="28"/>
          <w:highlight w:val="yellow"/>
          <w:lang w:val="es-CO"/>
        </w:rPr>
        <w:t xml:space="preserve">Las comunidades indígenas no se equiparan jurídicamente a una simple asociación. Son una realidad histórica, dinámica, caracterizada por elementos objetivos y subjetivos que no se reducen al </w:t>
      </w:r>
      <w:proofErr w:type="spellStart"/>
      <w:r w:rsidRPr="006737F6">
        <w:rPr>
          <w:rFonts w:ascii="Times New Roman" w:hAnsi="Times New Roman" w:cs="Times New Roman"/>
          <w:b/>
          <w:bCs/>
          <w:i/>
          <w:iCs/>
          <w:sz w:val="28"/>
          <w:szCs w:val="28"/>
          <w:highlight w:val="yellow"/>
          <w:lang w:val="es-CO"/>
        </w:rPr>
        <w:t>animus</w:t>
      </w:r>
      <w:proofErr w:type="spellEnd"/>
      <w:r w:rsidRPr="006737F6">
        <w:rPr>
          <w:rFonts w:ascii="Times New Roman" w:hAnsi="Times New Roman" w:cs="Times New Roman"/>
          <w:b/>
          <w:bCs/>
          <w:i/>
          <w:iCs/>
          <w:sz w:val="28"/>
          <w:szCs w:val="28"/>
          <w:highlight w:val="yellow"/>
          <w:lang w:val="es-CO"/>
        </w:rPr>
        <w:t xml:space="preserve"> </w:t>
      </w:r>
      <w:proofErr w:type="spellStart"/>
      <w:r w:rsidRPr="006737F6">
        <w:rPr>
          <w:rFonts w:ascii="Times New Roman" w:hAnsi="Times New Roman" w:cs="Times New Roman"/>
          <w:b/>
          <w:bCs/>
          <w:i/>
          <w:iCs/>
          <w:sz w:val="28"/>
          <w:szCs w:val="28"/>
          <w:highlight w:val="yellow"/>
          <w:lang w:val="es-CO"/>
        </w:rPr>
        <w:t>societatis</w:t>
      </w:r>
      <w:proofErr w:type="spellEnd"/>
      <w:r w:rsidRPr="006737F6">
        <w:rPr>
          <w:rFonts w:ascii="Times New Roman" w:hAnsi="Times New Roman" w:cs="Times New Roman"/>
          <w:sz w:val="28"/>
          <w:szCs w:val="28"/>
          <w:highlight w:val="yellow"/>
          <w:lang w:val="es-CO"/>
        </w:rPr>
        <w:t xml:space="preserve"> propio de las asociaciones civiles. Se nace indígena y se pertenece a una cultura, que se conserva o está en proceso de recuperación. La pertenencia a una comunidad indígena no surge de un acto espontáneo de la voluntad de dos o más personas. La conciencia de una identidad indígena o tribal es un criterio fundamental para la determinación de cuándo se está ante una comunidad indígena, de suerte que la mera intención de asociarse no genera este tipo de colectividad (D 2001 de 1988, art. 2o., Convenio 169 de la O.I.T. sobre pueblos indígenas y tribales en países independientes, aprobado por la Ley 21 de 1991, art. 1o. </w:t>
      </w:r>
      <w:proofErr w:type="spellStart"/>
      <w:r w:rsidRPr="006737F6">
        <w:rPr>
          <w:rFonts w:ascii="Times New Roman" w:hAnsi="Times New Roman" w:cs="Times New Roman"/>
          <w:sz w:val="28"/>
          <w:szCs w:val="28"/>
          <w:highlight w:val="yellow"/>
          <w:lang w:val="es-CO"/>
        </w:rPr>
        <w:t>num.</w:t>
      </w:r>
      <w:proofErr w:type="spellEnd"/>
      <w:r w:rsidRPr="006737F6">
        <w:rPr>
          <w:rFonts w:ascii="Times New Roman" w:hAnsi="Times New Roman" w:cs="Times New Roman"/>
          <w:sz w:val="28"/>
          <w:szCs w:val="28"/>
          <w:highlight w:val="yellow"/>
          <w:lang w:val="es-CO"/>
        </w:rPr>
        <w:t xml:space="preserve"> 2o.).</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proofErr w:type="spellStart"/>
      <w:r>
        <w:rPr>
          <w:rFonts w:ascii="Times New Roman" w:hAnsi="Times New Roman" w:cs="Times New Roman"/>
          <w:sz w:val="28"/>
          <w:szCs w:val="28"/>
          <w:lang w:val="es-CO"/>
        </w:rPr>
        <w:t>Ferdinand</w:t>
      </w:r>
      <w:proofErr w:type="spellEnd"/>
      <w:r>
        <w:rPr>
          <w:rFonts w:ascii="Times New Roman" w:hAnsi="Times New Roman" w:cs="Times New Roman"/>
          <w:sz w:val="28"/>
          <w:szCs w:val="28"/>
          <w:lang w:val="es-CO"/>
        </w:rPr>
        <w:t xml:space="preserve"> </w:t>
      </w:r>
      <w:proofErr w:type="spellStart"/>
      <w:r>
        <w:rPr>
          <w:rFonts w:ascii="Times New Roman" w:hAnsi="Times New Roman" w:cs="Times New Roman"/>
          <w:sz w:val="28"/>
          <w:szCs w:val="28"/>
          <w:lang w:val="es-CO"/>
        </w:rPr>
        <w:t>Tönnies</w:t>
      </w:r>
      <w:proofErr w:type="spellEnd"/>
      <w:r>
        <w:rPr>
          <w:rFonts w:ascii="Times New Roman" w:hAnsi="Times New Roman" w:cs="Times New Roman"/>
          <w:sz w:val="28"/>
          <w:szCs w:val="28"/>
          <w:lang w:val="es-CO"/>
        </w:rPr>
        <w:t xml:space="preserve"> distingue los conceptos de comunidad y sociedad. A su juicio,  la primera, se caracteriza por la existencia de una voluntad orgánica; la segunda, por una voluntad reflexiva de sus miembros. La comunidad es una forma anterior a la sociedad que se desarrolla a partir de la familia y, ordinariamente, en pequeñas poblaciones, en las cuales no prevalece la obtención de beneficios económicos sino  los lazos de sangre y las costumbres. Según este eminente sociólogo, el urbanismo hace evolucionar las comunidades en sociedades, "mutación que se produce bajo el signo de la abstracción, la que se verifica en el hecho de que cada </w:t>
      </w:r>
      <w:r>
        <w:rPr>
          <w:rFonts w:ascii="Times New Roman" w:hAnsi="Times New Roman" w:cs="Times New Roman"/>
          <w:sz w:val="28"/>
          <w:szCs w:val="28"/>
          <w:lang w:val="es-CO"/>
        </w:rPr>
        <w:lastRenderedPageBreak/>
        <w:t>uno vive para sí mismo en un estado de concurrencia de tipo social y económico, en donde la búsqueda de beneficios económicos y del comercio resultan lo fundamental"</w:t>
      </w:r>
      <w:bookmarkStart w:id="1" w:name="_ftnref2"/>
      <w:r w:rsidR="006F6234">
        <w:rPr>
          <w:rFonts w:ascii="Times New Roman" w:hAnsi="Times New Roman" w:cs="Times New Roman"/>
          <w:sz w:val="28"/>
          <w:szCs w:val="28"/>
          <w:lang w:val="es-CO"/>
        </w:rPr>
        <w:fldChar w:fldCharType="begin"/>
      </w:r>
      <w:r>
        <w:rPr>
          <w:rFonts w:ascii="Times New Roman" w:hAnsi="Times New Roman" w:cs="Times New Roman"/>
          <w:sz w:val="28"/>
          <w:szCs w:val="28"/>
          <w:lang w:val="es-CO"/>
        </w:rPr>
        <w:instrText xml:space="preserve"> HYPERLINK "http://www.corteconstitucional.gov.co/relatoria/1994/t-254-94.htm" \l "_ftn2" \o "" </w:instrText>
      </w:r>
      <w:r w:rsidR="006F6234">
        <w:rPr>
          <w:rFonts w:ascii="Times New Roman" w:hAnsi="Times New Roman" w:cs="Times New Roman"/>
          <w:sz w:val="28"/>
          <w:szCs w:val="28"/>
          <w:lang w:val="es-CO"/>
        </w:rPr>
        <w:fldChar w:fldCharType="separate"/>
      </w:r>
      <w:r>
        <w:rPr>
          <w:rStyle w:val="Refdenotaalpie"/>
          <w:rFonts w:ascii="Times New Roman" w:hAnsi="Times New Roman" w:cs="Times New Roman"/>
          <w:color w:val="0000FF"/>
          <w:sz w:val="28"/>
          <w:szCs w:val="28"/>
          <w:u w:val="single"/>
          <w:lang w:val="es-CO"/>
        </w:rPr>
        <w:t>2</w:t>
      </w:r>
      <w:r w:rsidR="006F6234">
        <w:rPr>
          <w:rFonts w:ascii="Times New Roman" w:hAnsi="Times New Roman" w:cs="Times New Roman"/>
          <w:sz w:val="28"/>
          <w:szCs w:val="28"/>
          <w:lang w:val="es-CO"/>
        </w:rPr>
        <w:fldChar w:fldCharType="end"/>
      </w:r>
      <w:bookmarkEnd w:id="1"/>
      <w:r>
        <w:rPr>
          <w:rFonts w:ascii="Times New Roman" w:hAnsi="Times New Roman" w:cs="Times New Roman"/>
          <w:sz w:val="28"/>
          <w:szCs w:val="28"/>
          <w:lang w:val="es-CO"/>
        </w:rPr>
        <w:t>.</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5. Demostrado que las decisiones de las comunidades indígenas no equivalen a las adoptadas por una asociación civil - club social, agremiación o colectividad regida por las leyes nacionales -, resta por establecer la naturaleza jurídica del acto por el que se excluyó al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de la comunidad indígena. Para el Tribunal de primera instancia se trató de un </w:t>
      </w:r>
      <w:r>
        <w:rPr>
          <w:rFonts w:ascii="Times New Roman" w:hAnsi="Times New Roman" w:cs="Times New Roman"/>
          <w:b/>
          <w:bCs/>
          <w:sz w:val="28"/>
          <w:szCs w:val="28"/>
          <w:lang w:val="es-CO"/>
        </w:rPr>
        <w:t>acto democrático</w:t>
      </w:r>
      <w:r>
        <w:rPr>
          <w:rFonts w:ascii="Times New Roman" w:hAnsi="Times New Roman" w:cs="Times New Roman"/>
          <w:sz w:val="28"/>
          <w:szCs w:val="28"/>
          <w:lang w:val="es-CO"/>
        </w:rPr>
        <w:t xml:space="preserve"> de la colectividad y no de un acto de justicia en los términos del artículo 246 de la Carta Política. No obstante, a juicio de la Corte Suprema de Justicia, la decisión de expulsar al actor se tomó como </w:t>
      </w:r>
      <w:r>
        <w:rPr>
          <w:rFonts w:ascii="Times New Roman" w:hAnsi="Times New Roman" w:cs="Times New Roman"/>
          <w:b/>
          <w:bCs/>
          <w:sz w:val="28"/>
          <w:szCs w:val="28"/>
          <w:lang w:val="es-CO"/>
        </w:rPr>
        <w:t>sanción</w:t>
      </w:r>
      <w:r>
        <w:rPr>
          <w:rFonts w:ascii="Times New Roman" w:hAnsi="Times New Roman" w:cs="Times New Roman"/>
          <w:sz w:val="28"/>
          <w:szCs w:val="28"/>
          <w:lang w:val="es-CO"/>
        </w:rPr>
        <w:t xml:space="preserve"> por la reiteración de conductas contrarias a sus costumbres y normas internas.</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sidRPr="006737F6">
        <w:rPr>
          <w:rFonts w:ascii="Times New Roman" w:hAnsi="Times New Roman" w:cs="Times New Roman"/>
          <w:sz w:val="28"/>
          <w:szCs w:val="28"/>
          <w:highlight w:val="yellow"/>
          <w:lang w:val="es-CO"/>
        </w:rPr>
        <w:t>El método de adopción de una decisión no es el criterio determinante para precisar su naturaleza.</w:t>
      </w:r>
      <w:r>
        <w:rPr>
          <w:rFonts w:ascii="Times New Roman" w:hAnsi="Times New Roman" w:cs="Times New Roman"/>
          <w:sz w:val="28"/>
          <w:szCs w:val="28"/>
          <w:lang w:val="es-CO"/>
        </w:rPr>
        <w:t xml:space="preserve"> La cualidad democrática del procedimiento de expedición no se transmite al acto o decisión, hasta el grado de definir su naturaleza, ni excluye la posibilidad jurídica de que se trate de un acto jurisdiccional.</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En consecuencia, para poder establecer si la decisión de expulsar de la comunidad al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y privarlo con ello de los beneficios que le reportaba ser miembro de dicha agrupación indígena, es un acto sancionatorio, proferido en ejercicio de las atribuciones contenidas en el artículo 246 de la Constitución, se hace necesario determinar previamente la admisibilidad del ejercicio actual de la jurisdicción especial por parte de las comunidades indígenas. Previa la resolución de este aspecto, sin embargo, la Sala estima pertinente enunciar los principios y reglas que surgen de la tensión existente entre el régimen político unitario republicano y el reconocimiento de la </w:t>
      </w:r>
      <w:r w:rsidRPr="006737F6">
        <w:rPr>
          <w:rFonts w:ascii="Times New Roman" w:hAnsi="Times New Roman" w:cs="Times New Roman"/>
          <w:sz w:val="28"/>
          <w:szCs w:val="28"/>
          <w:highlight w:val="yellow"/>
          <w:lang w:val="es-CO"/>
        </w:rPr>
        <w:t>autonomía a los territorios indígenas. Esta última, se sabe, realiza parcialmente los principios de pluralismo político y de diversidad étnica y cultural de la nación colombiana.</w:t>
      </w:r>
      <w:r>
        <w:rPr>
          <w:rFonts w:ascii="Times New Roman" w:hAnsi="Times New Roman" w:cs="Times New Roman"/>
          <w:sz w:val="28"/>
          <w:szCs w:val="28"/>
          <w:lang w:val="es-CO"/>
        </w:rPr>
        <w:t xml:space="preserve"> De este modo, la atribución constitucional confiada a las autoridades de los pueblos indígenas, consistente en el ejercicio de funciones jurisdiccionales dentro de su territorio, debe interpretarse de conformidad con la Constitución y la ley.</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b/>
          <w:bCs/>
          <w:sz w:val="28"/>
          <w:szCs w:val="28"/>
          <w:lang w:val="es-CO"/>
        </w:rPr>
        <w:t>Régimen unitario y autonomía indígena</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6. El fortalecimiento de la unidad nacional es uno de los fines postulados en el preámbulo de la Constitución. La importancia de este valor que preside la Carta, se refleja en el establecimiento de la República unitaria </w:t>
      </w:r>
      <w:r>
        <w:rPr>
          <w:rFonts w:ascii="Times New Roman" w:hAnsi="Times New Roman" w:cs="Times New Roman"/>
          <w:sz w:val="28"/>
          <w:szCs w:val="28"/>
          <w:lang w:val="es-CO"/>
        </w:rPr>
        <w:lastRenderedPageBreak/>
        <w:t xml:space="preserve">como forma de gobierno, pero con autonomía de sus entidades territoriales (CP art. 1).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sidRPr="006737F6">
        <w:rPr>
          <w:rFonts w:ascii="Times New Roman" w:hAnsi="Times New Roman" w:cs="Times New Roman"/>
          <w:sz w:val="28"/>
          <w:szCs w:val="28"/>
          <w:highlight w:val="yellow"/>
          <w:lang w:val="es-CO"/>
        </w:rPr>
        <w:t xml:space="preserve">La consagración simultánea en el mismo artículo constitucional de principios contrarios - no contradictorios - como el régimen unitario y las autonomías territoriales, muestra la intención del Constituyente de erigir un régimen político fundado en la </w:t>
      </w:r>
      <w:r w:rsidRPr="006737F6">
        <w:rPr>
          <w:rFonts w:ascii="Times New Roman" w:hAnsi="Times New Roman" w:cs="Times New Roman"/>
          <w:b/>
          <w:bCs/>
          <w:sz w:val="28"/>
          <w:szCs w:val="28"/>
          <w:highlight w:val="yellow"/>
          <w:lang w:val="es-CO"/>
        </w:rPr>
        <w:t>conservación de la diversidad en la unidad</w:t>
      </w:r>
      <w:r w:rsidRPr="006737F6">
        <w:rPr>
          <w:rFonts w:ascii="Times New Roman" w:hAnsi="Times New Roman" w:cs="Times New Roman"/>
          <w:sz w:val="28"/>
          <w:szCs w:val="28"/>
          <w:highlight w:val="yellow"/>
          <w:lang w:val="es-CO"/>
        </w:rPr>
        <w:t>.</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En cuanto a la autonomía de las entidades territoriales, cabe resaltar, y al mismo tiempo, diferenciar, lo que concierne a la autonomía reconocida a los territorios indígenas.</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Aun cuando hasta el momento no se haya expedido la correspondiente ley llamada a regular el trascendental aspecto del régimen territorial del país, es posible, no obstante, distinguir que, a diferencia de lo que acontece frente a otras entidades territoriales, a los miembros de las comunidades indígenas se les garantiza no sólo una autonomía administrativa, presupuestal y financiera dentro de sus territorios, como puede suceder con los departamentos, distritos y municipios, sino que también el ejercicio, en el grado que la ley establece, de autonomía política y jurídica, lo que se traduce en </w:t>
      </w:r>
      <w:proofErr w:type="spellStart"/>
      <w:r>
        <w:rPr>
          <w:rFonts w:ascii="Times New Roman" w:hAnsi="Times New Roman" w:cs="Times New Roman"/>
          <w:sz w:val="28"/>
          <w:szCs w:val="28"/>
          <w:lang w:val="es-CO"/>
        </w:rPr>
        <w:t>en</w:t>
      </w:r>
      <w:proofErr w:type="spellEnd"/>
      <w:r>
        <w:rPr>
          <w:rFonts w:ascii="Times New Roman" w:hAnsi="Times New Roman" w:cs="Times New Roman"/>
          <w:sz w:val="28"/>
          <w:szCs w:val="28"/>
          <w:lang w:val="es-CO"/>
        </w:rPr>
        <w:t xml:space="preserve"> la elección de sus propias autoridades (CP art. 330), las que pueden ejercer funciones jurisdiccionales dentro de su ámbito territorial (CP art. 246). Lo anterior no significa otra cosa que el reconocimiento y la realización parcial del principio de democracia participativa y pluralista y el respeto de la diversidad étnica y cultural de la nación colombiana (CP art. 7).</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La autonomía política y jurídica reconocida a las comunidades indígenas por el constituyente, por su parte, debe ejercerse dentro de los estrictos parámetros señalados por el mismo texto constitucional: </w:t>
      </w:r>
      <w:r>
        <w:rPr>
          <w:rFonts w:ascii="Times New Roman" w:hAnsi="Times New Roman" w:cs="Times New Roman"/>
          <w:b/>
          <w:bCs/>
          <w:sz w:val="28"/>
          <w:szCs w:val="28"/>
          <w:lang w:val="es-CO"/>
        </w:rPr>
        <w:t>de conformidad con sus usos y costumbres, siempre y cuando no sean contrarios a la Constitución y a la ley</w:t>
      </w:r>
      <w:r>
        <w:rPr>
          <w:rFonts w:ascii="Times New Roman" w:hAnsi="Times New Roman" w:cs="Times New Roman"/>
          <w:sz w:val="28"/>
          <w:szCs w:val="28"/>
          <w:lang w:val="es-CO"/>
        </w:rPr>
        <w:t xml:space="preserve"> (CP arts. 246, 330), de forma que se asegure la unidad nacional.</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7. La creación de una jurisdicción especial indígena como la indicada en el artículo 246 de la Constitución plantea el problema de determinar cuál es la jerarquía existente entre la ley y las costumbres y usos indígenas, como fuentes de derecho. En efecto, la atribución constitucional de ejercer funciones jurisdiccionales dentro de su ámbito territorial,  reconocida a las autoridades indígenas, de conformidad con sus propias normas y procedimientos, está supeditada a la condición de que éstos y aquellas no sean contrarios a la Constitución y a la ley. Las diferencias conceptuales y </w:t>
      </w:r>
      <w:r>
        <w:rPr>
          <w:rFonts w:ascii="Times New Roman" w:hAnsi="Times New Roman" w:cs="Times New Roman"/>
          <w:sz w:val="28"/>
          <w:szCs w:val="28"/>
          <w:lang w:val="es-CO"/>
        </w:rPr>
        <w:lastRenderedPageBreak/>
        <w:t>los conflictos valorativos que puedan presentarse en la aplicación práctica de órdenes jurídicos diversos, deben ser superados respetando mínimamente las siguientes reglas de interpretación:</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7.1 </w:t>
      </w:r>
      <w:r>
        <w:rPr>
          <w:rFonts w:ascii="Times New Roman" w:hAnsi="Times New Roman" w:cs="Times New Roman"/>
          <w:b/>
          <w:bCs/>
          <w:sz w:val="28"/>
          <w:szCs w:val="28"/>
          <w:lang w:val="es-CO"/>
        </w:rPr>
        <w:t>A mayor conservación de sus usos y costumbres, mayor autonomía.</w:t>
      </w:r>
      <w:r>
        <w:rPr>
          <w:rFonts w:ascii="Times New Roman" w:hAnsi="Times New Roman" w:cs="Times New Roman"/>
          <w:sz w:val="28"/>
          <w:szCs w:val="28"/>
          <w:lang w:val="es-CO"/>
        </w:rPr>
        <w:t xml:space="preserve"> La realidad colombiana muestra que las numerosas comunidades indígenas existentes en el territorio nacional han sufrido una mayor o menor destrucción de su cultura por efecto del sometimiento al orden colonial y posterior integración a la "vida civilizada" (Ley 89 de 1890), debilitándose la capacidad de coerción social de las autoridades de algunos pueblos indígenas sobre sus miembros. La necesidad de un marco normativo objetivo que garantice seguridad jurídica y estabilidad social  dentro de estas colectividades, hace indispensable distinguir entre los grupos que conservan sus usos y costumbres - los que deben ser, en principio, respetados -, de aquellos que no los conservan, y deben, por lo tanto, regirse en mayor grado por las leyes de la República, ya que repugna al orden constitucional y legal el que una persona pueda quedar relegada a los extramuros del derecho por efecto de una imprecisa o inexistente delimitación de la normatividad llamada a regular sus derechos y obligaciones.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7.2 </w:t>
      </w:r>
      <w:r>
        <w:rPr>
          <w:rFonts w:ascii="Times New Roman" w:hAnsi="Times New Roman" w:cs="Times New Roman"/>
          <w:b/>
          <w:bCs/>
          <w:sz w:val="28"/>
          <w:szCs w:val="28"/>
          <w:lang w:val="es-CO"/>
        </w:rPr>
        <w:t xml:space="preserve">Los derechos fundamentales constitucionales constituyen el mínimo obligatorio de convivencia para todos los particulares. </w:t>
      </w:r>
      <w:r>
        <w:rPr>
          <w:rFonts w:ascii="Times New Roman" w:hAnsi="Times New Roman" w:cs="Times New Roman"/>
          <w:sz w:val="28"/>
          <w:szCs w:val="28"/>
          <w:lang w:val="es-CO"/>
        </w:rPr>
        <w:t>Pese a que la sujeción a la Constitución y a la ley es un deber de todos los nacionales en general (CP arts. 4, 6 y 95), dentro de los que se incluyen los indígenas, no sobra subrayar que el sistema axiológico contenido en la Carta de derechos y deberes, particularmente los derechos fundamentales, constituyen un límite material al principio de diversidad étnica y cultural y a los códigos de valores propios de las diversas comunidades indígenas que habitan el territorio nacional, las que, dicho sea de paso, estuvieron representadas en la Asamblea Nacional Constituyente.</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7.3 </w:t>
      </w:r>
      <w:r>
        <w:rPr>
          <w:rFonts w:ascii="Times New Roman" w:hAnsi="Times New Roman" w:cs="Times New Roman"/>
          <w:b/>
          <w:bCs/>
          <w:sz w:val="28"/>
          <w:szCs w:val="28"/>
          <w:lang w:val="es-CO"/>
        </w:rPr>
        <w:t xml:space="preserve">Las normas legales imperativas (de orden público) de la República priman sobre los usos y costumbres de las comunidades indígenas, siempre y cuando protejan directamente un valor constitucional superior al principio de diversidad étnica y cultural. </w:t>
      </w:r>
      <w:r>
        <w:rPr>
          <w:rFonts w:ascii="Times New Roman" w:hAnsi="Times New Roman" w:cs="Times New Roman"/>
          <w:sz w:val="28"/>
          <w:szCs w:val="28"/>
          <w:lang w:val="es-CO"/>
        </w:rPr>
        <w:t xml:space="preserve">La interpretación de la ley como límite al reconocimiento de los usos y costumbres no puede llegar hasta el extremo de hacer nugatorio el contenido de éstas por la simple existencia de la norma legal. El carácter normativo de la Constitución impone la necesidad de sopesar la importancia relativa de los valores protegidos por la norma constitucional - diversidad, pluralismo - y aquellos tutelados por las normas legales imperativas. Hay un ámbito intangible del pluralismo y de la diversidad étnica y cultural de los pueblos </w:t>
      </w:r>
      <w:r>
        <w:rPr>
          <w:rFonts w:ascii="Times New Roman" w:hAnsi="Times New Roman" w:cs="Times New Roman"/>
          <w:sz w:val="28"/>
          <w:szCs w:val="28"/>
          <w:lang w:val="es-CO"/>
        </w:rPr>
        <w:lastRenderedPageBreak/>
        <w:t>indígenas que no puede ser objeto de disposición por parte de la ley, pues se pondría en peligro su preservación y se socavaría su riqueza, la que justamente reside en el mantenimiento de la diferencia cultural. La jurisdicción especial (CP art. 246) y las funciones de autogobierno encomendadas a los consejos indígenas (CP art. 330) deben ejercerse, en consecuencia, según sus usos y costumbres, pero respetando las leyes imperativas sobre la materia que protejan valores constitucionales superiores.</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7.4 </w:t>
      </w:r>
      <w:r>
        <w:rPr>
          <w:rFonts w:ascii="Times New Roman" w:hAnsi="Times New Roman" w:cs="Times New Roman"/>
          <w:b/>
          <w:bCs/>
          <w:sz w:val="28"/>
          <w:szCs w:val="28"/>
          <w:lang w:val="es-CO"/>
        </w:rPr>
        <w:t>Los usos y costumbres de una comunidad indígena priman sobre las normas legales dispositivas.</w:t>
      </w:r>
      <w:r>
        <w:rPr>
          <w:rFonts w:ascii="Times New Roman" w:hAnsi="Times New Roman" w:cs="Times New Roman"/>
          <w:sz w:val="28"/>
          <w:szCs w:val="28"/>
          <w:lang w:val="es-CO"/>
        </w:rPr>
        <w:t xml:space="preserve"> Esta regla es consecuente con los principios de pluralismo y de diversidad, y no significa la aceptación de la costumbre </w:t>
      </w:r>
      <w:r>
        <w:rPr>
          <w:rFonts w:ascii="Times New Roman" w:hAnsi="Times New Roman" w:cs="Times New Roman"/>
          <w:b/>
          <w:bCs/>
          <w:i/>
          <w:iCs/>
          <w:sz w:val="28"/>
          <w:szCs w:val="28"/>
          <w:lang w:val="es-CO"/>
        </w:rPr>
        <w:t xml:space="preserve">contra </w:t>
      </w:r>
      <w:proofErr w:type="spellStart"/>
      <w:r>
        <w:rPr>
          <w:rFonts w:ascii="Times New Roman" w:hAnsi="Times New Roman" w:cs="Times New Roman"/>
          <w:b/>
          <w:bCs/>
          <w:i/>
          <w:iCs/>
          <w:sz w:val="28"/>
          <w:szCs w:val="28"/>
          <w:lang w:val="es-CO"/>
        </w:rPr>
        <w:t>legem</w:t>
      </w:r>
      <w:proofErr w:type="spellEnd"/>
      <w:r>
        <w:rPr>
          <w:rFonts w:ascii="Times New Roman" w:hAnsi="Times New Roman" w:cs="Times New Roman"/>
          <w:sz w:val="28"/>
          <w:szCs w:val="28"/>
          <w:lang w:val="es-CO"/>
        </w:rPr>
        <w:t xml:space="preserve"> por tratarse de normas dispositivas. La naturaleza de las leyes civiles, por ejemplo, otorga un amplio margen a la autonomía de la voluntad privada, lo que, </w:t>
      </w:r>
      <w:r>
        <w:rPr>
          <w:rFonts w:ascii="Times New Roman" w:hAnsi="Times New Roman" w:cs="Times New Roman"/>
          <w:b/>
          <w:bCs/>
          <w:i/>
          <w:iCs/>
          <w:sz w:val="28"/>
          <w:szCs w:val="28"/>
          <w:lang w:val="es-CO"/>
        </w:rPr>
        <w:t>mutatis mutandis</w:t>
      </w:r>
      <w:r>
        <w:rPr>
          <w:rFonts w:ascii="Times New Roman" w:hAnsi="Times New Roman" w:cs="Times New Roman"/>
          <w:sz w:val="28"/>
          <w:szCs w:val="28"/>
          <w:lang w:val="es-CO"/>
        </w:rPr>
        <w:t xml:space="preserve">, fundamenta la prevalencia de los usos y costumbres en la materia sobre normas que sólo deben tener aplicación en ausencia de una </w:t>
      </w:r>
      <w:proofErr w:type="spellStart"/>
      <w:r>
        <w:rPr>
          <w:rFonts w:ascii="Times New Roman" w:hAnsi="Times New Roman" w:cs="Times New Roman"/>
          <w:sz w:val="28"/>
          <w:szCs w:val="28"/>
          <w:lang w:val="es-CO"/>
        </w:rPr>
        <w:t>autoregulación</w:t>
      </w:r>
      <w:proofErr w:type="spellEnd"/>
      <w:r>
        <w:rPr>
          <w:rFonts w:ascii="Times New Roman" w:hAnsi="Times New Roman" w:cs="Times New Roman"/>
          <w:sz w:val="28"/>
          <w:szCs w:val="28"/>
          <w:lang w:val="es-CO"/>
        </w:rPr>
        <w:t xml:space="preserve"> por parte de las comunidades indígenas.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Las anteriores premisas permiten identificar a la comunidad indígena de El Tambo, localizada en el Municipio de </w:t>
      </w:r>
      <w:proofErr w:type="spellStart"/>
      <w:r>
        <w:rPr>
          <w:rFonts w:ascii="Times New Roman" w:hAnsi="Times New Roman" w:cs="Times New Roman"/>
          <w:sz w:val="28"/>
          <w:szCs w:val="28"/>
          <w:lang w:val="es-CO"/>
        </w:rPr>
        <w:t>Coyaima</w:t>
      </w:r>
      <w:proofErr w:type="spellEnd"/>
      <w:r>
        <w:rPr>
          <w:rFonts w:ascii="Times New Roman" w:hAnsi="Times New Roman" w:cs="Times New Roman"/>
          <w:sz w:val="28"/>
          <w:szCs w:val="28"/>
          <w:lang w:val="es-CO"/>
        </w:rPr>
        <w:t>, Departamento del Tolima, como una comunidad en proceso de legalización de su territorio de resguardo y de recuperación de su identidad cultural, que habita un predio adjudicado por el INCORA en 1989 respecto del cual, por el momento, no posee título de propiedad comunitaria. En efecto, al igual que en otras parcialidades del Tolima, los miembros de la comunidad de El Tambo no conservan la lengua que hablaran sus antepasados ni parte importante de sus costumbres y tradiciones. No obstante, eligen a sus autoridades representadas en el cabildo indígena, administran colectivamente el uso y trabajo de la tierra y comparten un propósito común: identificarse con su pasado aborigen, manteniendo los rasgos y valores propios de su cultura, así como sus formas de gobierno y control social que los distingue como comunidad indígena.</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right="51"/>
        <w:jc w:val="both"/>
      </w:pPr>
      <w:r>
        <w:rPr>
          <w:rFonts w:ascii="Times New Roman" w:hAnsi="Times New Roman" w:cs="Times New Roman"/>
          <w:b/>
          <w:bCs/>
          <w:sz w:val="28"/>
          <w:szCs w:val="28"/>
          <w:lang w:val="es-CO"/>
        </w:rPr>
        <w:t xml:space="preserve">Jurisdicción indígena e imposición de sanciones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8. El ejercicio de la jurisdicción indígena no está condicionada a la expedición de una ley que la habilite, como podría pensarse a primera vista. La Constitución autoriza a las autoridades de los pueblos indígenas el ejercicio de funciones jurisdiccionales dentro de su ámbito territorial, de conformidad con sus propias normas y procedimientos, siempre y cuando no sean contrarios a la constitución y a la ley. De otra parte, al Legislador </w:t>
      </w:r>
      <w:r>
        <w:rPr>
          <w:rFonts w:ascii="Times New Roman" w:hAnsi="Times New Roman" w:cs="Times New Roman"/>
          <w:sz w:val="28"/>
          <w:szCs w:val="28"/>
          <w:lang w:val="es-CO"/>
        </w:rPr>
        <w:lastRenderedPageBreak/>
        <w:t>corresponde la obligación de regular las formas de coordinación de esta jurisdicción con el sistema de la justicia nacional (CP art. 246).</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La precariedad de ciertos presupuestos fácticos para el ejercicio adecuado de la jurisdicción especial indígena - falta de legalización del resguardo, ausencia de prueba sobre la existencia de usos y costumbres-, son factores que muy probablemente llevaron a los juzgadores de primera y segunda instancia a identificar la decisión de la comunidad indígena con un acto particular emanado del derecho de libre asociación, y no como un acto jurisdiccional. No obstante, el reconocimiento de la existencia de una comunidad indígena con sus propias autoridades, normas y procedimientos por parte de los juzgadores de tutela, exigía dar un tratamiento jurídico a la situación planteada por el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desde la perspectiva del derecho constitucional y no según el régimen de comunidad civil dispuesto para regular las relaciones entre comuneros.</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9. El carácter de la decisión adoptada por la comunidad indígena de El Tambo el día 28 de diciembre de 1992, permite afirmar que en aquella ocasión se juzgó la conducta del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por transgredir los parámetros de lo socialmente permitido en la comunidad indígena y por atentar contra sus bienes o intereses, sancionándolo con la privación, tanto a él como a su familia, de ciertos derechos y beneficios. En consecuencia, la decisión exhibe la naturaleza de un verdadero acto judicial mediante el que se impuso una sanción por la comisión de  una conducta contraria a las normas internas de la comunidad y lesiva de sus intereses, en ejercicio de las funciones jurisdiccionales atribuidas por la Constitución a las autoridades de los pueblos indígenas, cuya validez depende que su conformidad con la Constitución y la ley (CP art. 246).</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right="51"/>
        <w:jc w:val="both"/>
      </w:pPr>
      <w:r>
        <w:rPr>
          <w:rFonts w:ascii="Times New Roman" w:hAnsi="Times New Roman" w:cs="Times New Roman"/>
          <w:b/>
          <w:bCs/>
          <w:sz w:val="28"/>
          <w:szCs w:val="28"/>
          <w:lang w:val="es-CO"/>
        </w:rPr>
        <w:t xml:space="preserve">Principio de diversidad étnica y cultural vs. </w:t>
      </w:r>
      <w:proofErr w:type="gramStart"/>
      <w:r>
        <w:rPr>
          <w:rFonts w:ascii="Times New Roman" w:hAnsi="Times New Roman" w:cs="Times New Roman"/>
          <w:b/>
          <w:bCs/>
          <w:sz w:val="28"/>
          <w:szCs w:val="28"/>
          <w:lang w:val="es-CO"/>
        </w:rPr>
        <w:t>vigencia</w:t>
      </w:r>
      <w:proofErr w:type="gramEnd"/>
      <w:r>
        <w:rPr>
          <w:rFonts w:ascii="Times New Roman" w:hAnsi="Times New Roman" w:cs="Times New Roman"/>
          <w:b/>
          <w:bCs/>
          <w:sz w:val="28"/>
          <w:szCs w:val="28"/>
          <w:lang w:val="es-CO"/>
        </w:rPr>
        <w:t xml:space="preserve"> de los derechos fundamentales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10. Existe una tensión entre el reconocimiento constitucional de la diversidad étnica y cultural y la consagración de los derechos fundamentales. Mientras que éstos filosóficamente se fundamentan en normas transculturales, pretendidamente universales, que permitirían afianzar una base firme para la convivencia y la paz entre las naciones, el respeto de la diversidad supone la aceptación de cosmovisiones y de estándares valorativos diversos y hasta contrarios a los valores de una ética universal. Esta paradoja ha dado lugar a un candente debate filosófico sobre la vigencia de los derechos humanos consagrados en los tratados internacionales.</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lastRenderedPageBreak/>
        <w:t xml:space="preserve">Reflexiones como la de </w:t>
      </w:r>
      <w:proofErr w:type="spellStart"/>
      <w:r>
        <w:rPr>
          <w:rFonts w:ascii="Times New Roman" w:hAnsi="Times New Roman" w:cs="Times New Roman"/>
          <w:sz w:val="28"/>
          <w:szCs w:val="28"/>
          <w:lang w:val="es-CO"/>
        </w:rPr>
        <w:t>Agnes</w:t>
      </w:r>
      <w:proofErr w:type="spellEnd"/>
      <w:r>
        <w:rPr>
          <w:rFonts w:ascii="Times New Roman" w:hAnsi="Times New Roman" w:cs="Times New Roman"/>
          <w:sz w:val="28"/>
          <w:szCs w:val="28"/>
          <w:lang w:val="es-CO"/>
        </w:rPr>
        <w:t xml:space="preserve"> Heller</w:t>
      </w:r>
      <w:bookmarkStart w:id="2" w:name="_ftnref3"/>
      <w:r w:rsidR="006F6234">
        <w:rPr>
          <w:rFonts w:ascii="Times New Roman" w:hAnsi="Times New Roman" w:cs="Times New Roman"/>
          <w:sz w:val="28"/>
          <w:szCs w:val="28"/>
          <w:lang w:val="es-CO"/>
        </w:rPr>
        <w:fldChar w:fldCharType="begin"/>
      </w:r>
      <w:r>
        <w:rPr>
          <w:rFonts w:ascii="Times New Roman" w:hAnsi="Times New Roman" w:cs="Times New Roman"/>
          <w:sz w:val="28"/>
          <w:szCs w:val="28"/>
          <w:lang w:val="es-CO"/>
        </w:rPr>
        <w:instrText xml:space="preserve"> HYPERLINK "http://www.corteconstitucional.gov.co/relatoria/1994/t-254-94.htm" \l "_ftn3" \o "" </w:instrText>
      </w:r>
      <w:r w:rsidR="006F6234">
        <w:rPr>
          <w:rFonts w:ascii="Times New Roman" w:hAnsi="Times New Roman" w:cs="Times New Roman"/>
          <w:sz w:val="28"/>
          <w:szCs w:val="28"/>
          <w:lang w:val="es-CO"/>
        </w:rPr>
        <w:fldChar w:fldCharType="separate"/>
      </w:r>
      <w:r>
        <w:rPr>
          <w:rStyle w:val="Refdenotaalpie"/>
          <w:rFonts w:ascii="Times New Roman" w:hAnsi="Times New Roman" w:cs="Times New Roman"/>
          <w:color w:val="0000FF"/>
          <w:sz w:val="28"/>
          <w:szCs w:val="28"/>
          <w:u w:val="single"/>
          <w:lang w:val="es-CO"/>
        </w:rPr>
        <w:t>3</w:t>
      </w:r>
      <w:r w:rsidR="006F6234">
        <w:rPr>
          <w:rFonts w:ascii="Times New Roman" w:hAnsi="Times New Roman" w:cs="Times New Roman"/>
          <w:sz w:val="28"/>
          <w:szCs w:val="28"/>
          <w:lang w:val="es-CO"/>
        </w:rPr>
        <w:fldChar w:fldCharType="end"/>
      </w:r>
      <w:bookmarkEnd w:id="2"/>
      <w:r>
        <w:rPr>
          <w:rFonts w:ascii="Times New Roman" w:hAnsi="Times New Roman" w:cs="Times New Roman"/>
          <w:sz w:val="28"/>
          <w:szCs w:val="28"/>
          <w:lang w:val="es-CO"/>
        </w:rPr>
        <w:t xml:space="preserve"> conducen a rechazar el relativismo ético extremo. Para esta autora, el verdadero respeto de la diversidad cultural impone el respeto  absoluto a los parámetros valorativos de las diversas culturas, y obliga a propender por un relativismo moderado en el que se admita la </w:t>
      </w:r>
      <w:proofErr w:type="spellStart"/>
      <w:r>
        <w:rPr>
          <w:rFonts w:ascii="Times New Roman" w:hAnsi="Times New Roman" w:cs="Times New Roman"/>
          <w:sz w:val="28"/>
          <w:szCs w:val="28"/>
          <w:lang w:val="es-CO"/>
        </w:rPr>
        <w:t>comparabilidad</w:t>
      </w:r>
      <w:proofErr w:type="spellEnd"/>
      <w:r>
        <w:rPr>
          <w:rFonts w:ascii="Times New Roman" w:hAnsi="Times New Roman" w:cs="Times New Roman"/>
          <w:sz w:val="28"/>
          <w:szCs w:val="28"/>
          <w:lang w:val="es-CO"/>
        </w:rPr>
        <w:t xml:space="preserve"> entre culturas bajo la fórmula de la tolerancia y el respeto de la especificidad cultural, salvo los casos en que esta encubra un inaceptable doble código de valores y una situación de fuerza o coacción susceptible de afectar la vida, la integridad o la libertad de la persona. La necesidad de defender unos mínimos universales éticos que permitan trascender la especificidad de las diferentes culturas y construir un marco de entendimiento y diálogo entre las civilizaciones justifica la adopción de las Cartas Internacionales de Derechos Humanos que, según </w:t>
      </w:r>
      <w:proofErr w:type="spellStart"/>
      <w:r>
        <w:rPr>
          <w:rFonts w:ascii="Times New Roman" w:hAnsi="Times New Roman" w:cs="Times New Roman"/>
          <w:sz w:val="28"/>
          <w:szCs w:val="28"/>
          <w:lang w:val="es-CO"/>
        </w:rPr>
        <w:t>Bobbio</w:t>
      </w:r>
      <w:proofErr w:type="spellEnd"/>
      <w:r>
        <w:rPr>
          <w:rFonts w:ascii="Times New Roman" w:hAnsi="Times New Roman" w:cs="Times New Roman"/>
          <w:sz w:val="28"/>
          <w:szCs w:val="28"/>
          <w:lang w:val="es-CO"/>
        </w:rPr>
        <w:t xml:space="preserve">, constituyen "la más grande prueba histórica que jamás se haya dado del </w:t>
      </w:r>
      <w:proofErr w:type="spellStart"/>
      <w:r>
        <w:rPr>
          <w:rFonts w:ascii="Times New Roman" w:hAnsi="Times New Roman" w:cs="Times New Roman"/>
          <w:b/>
          <w:bCs/>
          <w:i/>
          <w:iCs/>
          <w:sz w:val="28"/>
          <w:szCs w:val="28"/>
          <w:lang w:val="es-CO"/>
        </w:rPr>
        <w:t>consensus</w:t>
      </w:r>
      <w:proofErr w:type="spellEnd"/>
      <w:r>
        <w:rPr>
          <w:rFonts w:ascii="Times New Roman" w:hAnsi="Times New Roman" w:cs="Times New Roman"/>
          <w:b/>
          <w:bCs/>
          <w:i/>
          <w:iCs/>
          <w:sz w:val="28"/>
          <w:szCs w:val="28"/>
          <w:lang w:val="es-CO"/>
        </w:rPr>
        <w:t xml:space="preserve"> </w:t>
      </w:r>
      <w:proofErr w:type="spellStart"/>
      <w:r>
        <w:rPr>
          <w:rFonts w:ascii="Times New Roman" w:hAnsi="Times New Roman" w:cs="Times New Roman"/>
          <w:b/>
          <w:bCs/>
          <w:i/>
          <w:iCs/>
          <w:sz w:val="28"/>
          <w:szCs w:val="28"/>
          <w:lang w:val="es-CO"/>
        </w:rPr>
        <w:t>omnium</w:t>
      </w:r>
      <w:proofErr w:type="spellEnd"/>
      <w:r>
        <w:rPr>
          <w:rFonts w:ascii="Times New Roman" w:hAnsi="Times New Roman" w:cs="Times New Roman"/>
          <w:b/>
          <w:bCs/>
          <w:i/>
          <w:iCs/>
          <w:sz w:val="28"/>
          <w:szCs w:val="28"/>
          <w:lang w:val="es-CO"/>
        </w:rPr>
        <w:t xml:space="preserve"> </w:t>
      </w:r>
      <w:proofErr w:type="spellStart"/>
      <w:r>
        <w:rPr>
          <w:rFonts w:ascii="Times New Roman" w:hAnsi="Times New Roman" w:cs="Times New Roman"/>
          <w:b/>
          <w:bCs/>
          <w:i/>
          <w:iCs/>
          <w:sz w:val="28"/>
          <w:szCs w:val="28"/>
          <w:lang w:val="es-CO"/>
        </w:rPr>
        <w:t>gentium</w:t>
      </w:r>
      <w:proofErr w:type="spellEnd"/>
      <w:r>
        <w:rPr>
          <w:rFonts w:ascii="Times New Roman" w:hAnsi="Times New Roman" w:cs="Times New Roman"/>
          <w:b/>
          <w:bCs/>
          <w:i/>
          <w:iCs/>
          <w:sz w:val="28"/>
          <w:szCs w:val="28"/>
          <w:lang w:val="es-CO"/>
        </w:rPr>
        <w:t xml:space="preserve"> </w:t>
      </w:r>
      <w:r>
        <w:rPr>
          <w:rFonts w:ascii="Times New Roman" w:hAnsi="Times New Roman" w:cs="Times New Roman"/>
          <w:sz w:val="28"/>
          <w:szCs w:val="28"/>
          <w:lang w:val="es-CO"/>
        </w:rPr>
        <w:t>sobre un determinado sistema de valores"</w:t>
      </w:r>
      <w:bookmarkStart w:id="3" w:name="_ftnref4"/>
      <w:r w:rsidR="006F6234">
        <w:rPr>
          <w:rFonts w:ascii="Times New Roman" w:hAnsi="Times New Roman" w:cs="Times New Roman"/>
          <w:sz w:val="28"/>
          <w:szCs w:val="28"/>
          <w:lang w:val="es-CO"/>
        </w:rPr>
        <w:fldChar w:fldCharType="begin"/>
      </w:r>
      <w:r>
        <w:rPr>
          <w:rFonts w:ascii="Times New Roman" w:hAnsi="Times New Roman" w:cs="Times New Roman"/>
          <w:sz w:val="28"/>
          <w:szCs w:val="28"/>
          <w:lang w:val="es-CO"/>
        </w:rPr>
        <w:instrText xml:space="preserve"> HYPERLINK "http://www.corteconstitucional.gov.co/relatoria/1994/t-254-94.htm" \l "_ftn4" \o "" </w:instrText>
      </w:r>
      <w:r w:rsidR="006F6234">
        <w:rPr>
          <w:rFonts w:ascii="Times New Roman" w:hAnsi="Times New Roman" w:cs="Times New Roman"/>
          <w:sz w:val="28"/>
          <w:szCs w:val="28"/>
          <w:lang w:val="es-CO"/>
        </w:rPr>
        <w:fldChar w:fldCharType="separate"/>
      </w:r>
      <w:r>
        <w:rPr>
          <w:rStyle w:val="Refdenotaalpie"/>
          <w:rFonts w:ascii="Times New Roman" w:hAnsi="Times New Roman" w:cs="Times New Roman"/>
          <w:color w:val="0000FF"/>
          <w:sz w:val="28"/>
          <w:szCs w:val="28"/>
          <w:u w:val="single"/>
          <w:lang w:val="es-CO"/>
        </w:rPr>
        <w:t>4</w:t>
      </w:r>
      <w:r w:rsidR="006F6234">
        <w:rPr>
          <w:rFonts w:ascii="Times New Roman" w:hAnsi="Times New Roman" w:cs="Times New Roman"/>
          <w:sz w:val="28"/>
          <w:szCs w:val="28"/>
          <w:lang w:val="es-CO"/>
        </w:rPr>
        <w:fldChar w:fldCharType="end"/>
      </w:r>
      <w:bookmarkEnd w:id="3"/>
      <w:r>
        <w:rPr>
          <w:rFonts w:ascii="Times New Roman" w:hAnsi="Times New Roman" w:cs="Times New Roman"/>
          <w:sz w:val="28"/>
          <w:szCs w:val="28"/>
          <w:lang w:val="es-CO"/>
        </w:rPr>
        <w:t xml:space="preserve"> .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11. La plena vigencia de los derechos fundamentales constitucionales en los territorios indígenas como límite al principio de diversidad étnica y constitucional es acogido en el plano del derecho internacional, particularmente en lo que tiene que ver con los derechos humanos como código universal de convivencia y diálogo entre las culturas y naciones, presupuesto de la paz, de la justicia, de la libertad y de la prosperidad de todos los pueblos. En este sentido, el Convenio 169 de la O.I.T., sobre pueblos indígenas y tribales en países independientes, aprobado por el Congreso mediante Ley 21 de 1991, establece:</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left="851" w:right="51"/>
        <w:jc w:val="both"/>
      </w:pPr>
      <w:r>
        <w:rPr>
          <w:rFonts w:ascii="Times New Roman" w:hAnsi="Times New Roman" w:cs="Times New Roman"/>
          <w:b/>
          <w:bCs/>
          <w:sz w:val="28"/>
          <w:szCs w:val="28"/>
          <w:lang w:val="es-CO"/>
        </w:rPr>
        <w:t> "Artículo 8o.</w:t>
      </w:r>
    </w:p>
    <w:p w:rsidR="00117ACB" w:rsidRDefault="00117ACB" w:rsidP="00117ACB">
      <w:pPr>
        <w:ind w:left="851" w:right="51"/>
        <w:jc w:val="both"/>
      </w:pPr>
      <w:r>
        <w:rPr>
          <w:rFonts w:ascii="Times New Roman" w:hAnsi="Times New Roman" w:cs="Times New Roman"/>
          <w:b/>
          <w:bCs/>
          <w:sz w:val="28"/>
          <w:szCs w:val="28"/>
          <w:lang w:val="es-CO"/>
        </w:rPr>
        <w:t>1. Al aplicar la legislación nacional a los pueblos interesados deberán tomarse debidamente en consideración sus costumbres o su derecho consuetudinario.</w:t>
      </w:r>
    </w:p>
    <w:p w:rsidR="00117ACB" w:rsidRDefault="00117ACB" w:rsidP="00117ACB">
      <w:pPr>
        <w:ind w:left="851" w:right="51"/>
        <w:jc w:val="both"/>
      </w:pPr>
      <w:r>
        <w:rPr>
          <w:rFonts w:ascii="Times New Roman" w:hAnsi="Times New Roman" w:cs="Times New Roman"/>
          <w:b/>
          <w:bCs/>
          <w:sz w:val="28"/>
          <w:szCs w:val="28"/>
          <w:lang w:val="es-CO"/>
        </w:rPr>
        <w:t> </w:t>
      </w:r>
    </w:p>
    <w:p w:rsidR="00117ACB" w:rsidRDefault="00117ACB" w:rsidP="00117ACB">
      <w:pPr>
        <w:ind w:left="851" w:right="51"/>
        <w:jc w:val="both"/>
      </w:pPr>
      <w:r>
        <w:rPr>
          <w:rFonts w:ascii="Times New Roman" w:hAnsi="Times New Roman" w:cs="Times New Roman"/>
          <w:b/>
          <w:bCs/>
          <w:sz w:val="28"/>
          <w:szCs w:val="28"/>
          <w:lang w:val="es-CO"/>
        </w:rPr>
        <w:t>2. Dichos pueblos deberán tener el derecho de conservar sus costumbres e instituciones propias, siempre que éstas no sean incompatibles con los derechos fundamentales definidos por el sistema jurídico nacional ni con los derechos humanos internacionalmente reconocidos. Siempre que sea necesario, deberán establecerse procedimientos para solucionar los conflictos que puedan surgir en la aplicación de este principio.</w:t>
      </w:r>
    </w:p>
    <w:p w:rsidR="00117ACB" w:rsidRDefault="00117ACB" w:rsidP="00117ACB">
      <w:pPr>
        <w:ind w:left="851" w:right="51"/>
        <w:jc w:val="both"/>
      </w:pPr>
      <w:r>
        <w:rPr>
          <w:rFonts w:ascii="Times New Roman" w:hAnsi="Times New Roman" w:cs="Times New Roman"/>
          <w:b/>
          <w:bCs/>
          <w:sz w:val="28"/>
          <w:szCs w:val="28"/>
          <w:lang w:val="es-CO"/>
        </w:rPr>
        <w:t> </w:t>
      </w:r>
    </w:p>
    <w:p w:rsidR="00117ACB" w:rsidRDefault="00117ACB" w:rsidP="00117ACB">
      <w:pPr>
        <w:ind w:left="851" w:right="51"/>
        <w:jc w:val="both"/>
      </w:pPr>
      <w:r>
        <w:rPr>
          <w:rFonts w:ascii="Times New Roman" w:hAnsi="Times New Roman" w:cs="Times New Roman"/>
          <w:b/>
          <w:bCs/>
          <w:sz w:val="28"/>
          <w:szCs w:val="28"/>
          <w:lang w:val="es-CO"/>
        </w:rPr>
        <w:t>3. La aplicación de los párrafos 1 y 2 de este artículo no deberá impedir a los miembros de dichos pueblos ejercer los derechos reconocidos a todos los ciudadanos del país y asumir las obligaciones correspondientes.</w:t>
      </w:r>
    </w:p>
    <w:p w:rsidR="00117ACB" w:rsidRDefault="00117ACB" w:rsidP="00117ACB">
      <w:pPr>
        <w:ind w:left="851" w:right="51"/>
        <w:jc w:val="both"/>
      </w:pPr>
      <w:r>
        <w:rPr>
          <w:rFonts w:ascii="Times New Roman" w:hAnsi="Times New Roman" w:cs="Times New Roman"/>
          <w:b/>
          <w:bCs/>
          <w:sz w:val="28"/>
          <w:szCs w:val="28"/>
          <w:lang w:val="es-CO"/>
        </w:rPr>
        <w:lastRenderedPageBreak/>
        <w:t> </w:t>
      </w:r>
    </w:p>
    <w:p w:rsidR="00117ACB" w:rsidRDefault="00117ACB" w:rsidP="00117ACB">
      <w:pPr>
        <w:ind w:left="851" w:right="51"/>
        <w:jc w:val="both"/>
      </w:pPr>
      <w:r>
        <w:rPr>
          <w:rFonts w:ascii="Times New Roman" w:hAnsi="Times New Roman" w:cs="Times New Roman"/>
          <w:b/>
          <w:bCs/>
          <w:sz w:val="28"/>
          <w:szCs w:val="28"/>
          <w:lang w:val="es-CO"/>
        </w:rPr>
        <w:t>"Artículo 9º</w:t>
      </w:r>
    </w:p>
    <w:p w:rsidR="00117ACB" w:rsidRDefault="00117ACB" w:rsidP="00117ACB">
      <w:pPr>
        <w:ind w:left="851" w:right="51"/>
        <w:jc w:val="both"/>
      </w:pPr>
      <w:r>
        <w:rPr>
          <w:rFonts w:ascii="Times New Roman" w:hAnsi="Times New Roman" w:cs="Times New Roman"/>
          <w:b/>
          <w:bCs/>
          <w:sz w:val="28"/>
          <w:szCs w:val="28"/>
          <w:lang w:val="es-CO"/>
        </w:rPr>
        <w:t>1. En la medida en que ello sea compatible con el sistema jurídico nacional y con los derechos humanos internacionalmente reconocidos, deberán respetarse los métodos a los que los pueblos interesados recurren tradicionalmente para la represión de los delitos cometidos por sus miembros.</w:t>
      </w:r>
    </w:p>
    <w:p w:rsidR="00117ACB" w:rsidRDefault="00117ACB" w:rsidP="00117ACB">
      <w:pPr>
        <w:ind w:left="851" w:right="51"/>
        <w:jc w:val="both"/>
      </w:pPr>
      <w:r>
        <w:rPr>
          <w:rFonts w:ascii="Times New Roman" w:hAnsi="Times New Roman" w:cs="Times New Roman"/>
          <w:b/>
          <w:bCs/>
          <w:sz w:val="28"/>
          <w:szCs w:val="28"/>
          <w:lang w:val="es-CO"/>
        </w:rPr>
        <w:t> </w:t>
      </w:r>
    </w:p>
    <w:p w:rsidR="00117ACB" w:rsidRDefault="00117ACB" w:rsidP="00117ACB">
      <w:pPr>
        <w:ind w:left="851" w:right="51"/>
        <w:jc w:val="both"/>
      </w:pPr>
      <w:r>
        <w:rPr>
          <w:rFonts w:ascii="Times New Roman" w:hAnsi="Times New Roman" w:cs="Times New Roman"/>
          <w:b/>
          <w:bCs/>
          <w:sz w:val="28"/>
          <w:szCs w:val="28"/>
          <w:lang w:val="es-CO"/>
        </w:rPr>
        <w:t>2. La autoridades y los tribunales llamados a pronunciarse sobre cuestiones penales deberán tener en cuenta las costumbres de dichos pueblos en la materia".</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A la luz de lo expuesto, debe la Sala entrar a examinar si el contenido y forma del acto por el que se expulsó al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y a su familia de la comunidad indígena de El Tambo, vulneró sus derechos constitucionales fundamentales.</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b/>
          <w:bCs/>
          <w:sz w:val="28"/>
          <w:szCs w:val="28"/>
          <w:lang w:val="es-CO"/>
        </w:rPr>
        <w:t xml:space="preserve">Examen constitucional de la sanción de expulsión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12. Un límite constitucional explícito al ejercicio de la potestad punitiva por parte de las autoridades de los pueblos indígenas, lo constituye la prohibición de imponer penas de destierro, prisión perpetua y confiscación (CP art. 38). El actor acusa la decisión de la comunidad de violar esta prohibición.</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Bajo una perspectiva antropológica, la pena de destierro comprende la sanción de extrañamiento de un miembro de la colectividad que conlleva la pérdida de su identidad cultural y la separación física del resto de la comunidad. Esta práctica de condenar al ostracismo al infractor de las normas internas de la comunidad es frecuente en las organizaciones sociales en las que la defensa de la colectividad prevalece sobre los derechos individuales.</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La inclusión en las cartas de derechos internacionales de la prohibición de la pena del destierro es coetánea al surgimiento del Estado-Nación, por lo que política y jurídicamente el destierro viene a identificarse con la privación de la nacionalidad o de la patria, sanción que repugna a la concepción de los derechos humanos de estirpe individual. La Declaración Universal de los Derechos Humanos establece en su artículo 9o. que "nadie será arbitrariamente detenido, preso ni desterrado". Por su parte, el Pacto Internacional de Derechos Civiles y Políticos dispone que "nadie podrá ser </w:t>
      </w:r>
      <w:r>
        <w:rPr>
          <w:rFonts w:ascii="Times New Roman" w:hAnsi="Times New Roman" w:cs="Times New Roman"/>
          <w:sz w:val="28"/>
          <w:szCs w:val="28"/>
          <w:lang w:val="es-CO"/>
        </w:rPr>
        <w:lastRenderedPageBreak/>
        <w:t xml:space="preserve">arbitrariamente privado del derecho a entrar en su propio país" (artículo 12). La Convención Americana sobre Derechos Humanos consagra que "nadie puede ser expulsado del territorio del Estado del cual es nacional, ni ser privado del derecho a ingresar en el mismo" (artículo 5o). En consecuencia, a la luz de los tratados internacionales sobre derechos humanos ratificados por Colombia (CP art. 93), la pena de destierro sólo se refiere a la expulsión del territorio del Estado y no a la exclusión de las comunidades indígenas que habitan un espacio de dicho territorio pero que no exhiben el carácter de Naciones. La expulsión del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en consecuencia, no vulneró la prohibición del destierro.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13. Se acusa igualmente la violación del artículo 38 de la Carta por parte del cabildo de la comunidad indígena al privar al peticionario de la parcela donde poseía diversos cultivos.</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La confiscación supone la apropiación, a título de pena, por parte del Estado de parte o la totalidad de los bienes de una persona, sin el pago de contraprestación alguna. La privación arbitraria de la propiedad privada y su destinación al fisco nacional por decisión del Estado constituyen elementos necesarios de esta pena prohibida por la Carta. En la  Asamblea Nacional Constituyente, se expresaron, entre otras razones, las siguientes, en las que se trasluce el franco repudio a esta modalidad de pena:</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left="851" w:right="51"/>
        <w:jc w:val="both"/>
      </w:pPr>
      <w:r>
        <w:rPr>
          <w:rFonts w:ascii="Times New Roman" w:hAnsi="Times New Roman" w:cs="Times New Roman"/>
          <w:b/>
          <w:bCs/>
          <w:sz w:val="28"/>
          <w:szCs w:val="28"/>
          <w:lang w:val="es-CO"/>
        </w:rPr>
        <w:t>"</w:t>
      </w:r>
      <w:proofErr w:type="spellStart"/>
      <w:r>
        <w:rPr>
          <w:rFonts w:ascii="Times New Roman" w:hAnsi="Times New Roman" w:cs="Times New Roman"/>
          <w:b/>
          <w:bCs/>
          <w:sz w:val="28"/>
          <w:szCs w:val="28"/>
          <w:lang w:val="es-CO"/>
        </w:rPr>
        <w:t>Jose</w:t>
      </w:r>
      <w:proofErr w:type="spellEnd"/>
      <w:r>
        <w:rPr>
          <w:rFonts w:ascii="Times New Roman" w:hAnsi="Times New Roman" w:cs="Times New Roman"/>
          <w:b/>
          <w:bCs/>
          <w:sz w:val="28"/>
          <w:szCs w:val="28"/>
          <w:lang w:val="es-CO"/>
        </w:rPr>
        <w:t xml:space="preserve"> María Samper, Francisco de Paula Pérez, </w:t>
      </w:r>
      <w:proofErr w:type="spellStart"/>
      <w:r>
        <w:rPr>
          <w:rFonts w:ascii="Times New Roman" w:hAnsi="Times New Roman" w:cs="Times New Roman"/>
          <w:b/>
          <w:bCs/>
          <w:sz w:val="28"/>
          <w:szCs w:val="28"/>
          <w:lang w:val="es-CO"/>
        </w:rPr>
        <w:t>Alvaro</w:t>
      </w:r>
      <w:proofErr w:type="spellEnd"/>
      <w:r>
        <w:rPr>
          <w:rFonts w:ascii="Times New Roman" w:hAnsi="Times New Roman" w:cs="Times New Roman"/>
          <w:b/>
          <w:bCs/>
          <w:sz w:val="28"/>
          <w:szCs w:val="28"/>
          <w:lang w:val="es-CO"/>
        </w:rPr>
        <w:t xml:space="preserve"> Copete </w:t>
      </w:r>
      <w:proofErr w:type="spellStart"/>
      <w:r>
        <w:rPr>
          <w:rFonts w:ascii="Times New Roman" w:hAnsi="Times New Roman" w:cs="Times New Roman"/>
          <w:b/>
          <w:bCs/>
          <w:sz w:val="28"/>
          <w:szCs w:val="28"/>
          <w:lang w:val="es-CO"/>
        </w:rPr>
        <w:t>Lizarralde</w:t>
      </w:r>
      <w:proofErr w:type="spellEnd"/>
      <w:r>
        <w:rPr>
          <w:rFonts w:ascii="Times New Roman" w:hAnsi="Times New Roman" w:cs="Times New Roman"/>
          <w:b/>
          <w:bCs/>
          <w:sz w:val="28"/>
          <w:szCs w:val="28"/>
          <w:lang w:val="es-CO"/>
        </w:rPr>
        <w:t xml:space="preserve"> y Luis Carlos </w:t>
      </w:r>
      <w:proofErr w:type="spellStart"/>
      <w:r>
        <w:rPr>
          <w:rFonts w:ascii="Times New Roman" w:hAnsi="Times New Roman" w:cs="Times New Roman"/>
          <w:b/>
          <w:bCs/>
          <w:sz w:val="28"/>
          <w:szCs w:val="28"/>
          <w:lang w:val="es-CO"/>
        </w:rPr>
        <w:t>Sáchica</w:t>
      </w:r>
      <w:proofErr w:type="spellEnd"/>
      <w:r>
        <w:rPr>
          <w:rFonts w:ascii="Times New Roman" w:hAnsi="Times New Roman" w:cs="Times New Roman"/>
          <w:b/>
          <w:bCs/>
          <w:sz w:val="28"/>
          <w:szCs w:val="28"/>
          <w:lang w:val="es-CO"/>
        </w:rPr>
        <w:t xml:space="preserve">, coinciden, en términos generales con lo expresado por Jorge Enrique Gutiérrez </w:t>
      </w:r>
      <w:proofErr w:type="spellStart"/>
      <w:r>
        <w:rPr>
          <w:rFonts w:ascii="Times New Roman" w:hAnsi="Times New Roman" w:cs="Times New Roman"/>
          <w:b/>
          <w:bCs/>
          <w:sz w:val="28"/>
          <w:szCs w:val="28"/>
          <w:lang w:val="es-CO"/>
        </w:rPr>
        <w:t>Anzola</w:t>
      </w:r>
      <w:proofErr w:type="spellEnd"/>
      <w:r>
        <w:rPr>
          <w:rFonts w:ascii="Times New Roman" w:hAnsi="Times New Roman" w:cs="Times New Roman"/>
          <w:b/>
          <w:bCs/>
          <w:sz w:val="28"/>
          <w:szCs w:val="28"/>
          <w:lang w:val="es-CO"/>
        </w:rPr>
        <w:t>: "por medio de la confiscación se adjudican los bienes de un reo al Tesoro Público. Con ella se busca apartar a los hombres del delito pero con el temor de dejar a su familia en la indigencia.</w:t>
      </w:r>
    </w:p>
    <w:p w:rsidR="00117ACB" w:rsidRDefault="00117ACB" w:rsidP="00117ACB">
      <w:pPr>
        <w:ind w:left="851" w:right="51"/>
        <w:jc w:val="both"/>
      </w:pPr>
      <w:r>
        <w:rPr>
          <w:rFonts w:ascii="Times New Roman" w:hAnsi="Times New Roman" w:cs="Times New Roman"/>
          <w:b/>
          <w:bCs/>
          <w:sz w:val="28"/>
          <w:szCs w:val="28"/>
          <w:lang w:val="es-CO"/>
        </w:rPr>
        <w:t> </w:t>
      </w:r>
    </w:p>
    <w:p w:rsidR="00117ACB" w:rsidRDefault="00117ACB" w:rsidP="00117ACB">
      <w:pPr>
        <w:ind w:left="851" w:right="51"/>
        <w:jc w:val="both"/>
      </w:pPr>
      <w:r>
        <w:rPr>
          <w:rFonts w:ascii="Times New Roman" w:hAnsi="Times New Roman" w:cs="Times New Roman"/>
          <w:b/>
          <w:bCs/>
          <w:sz w:val="28"/>
          <w:szCs w:val="28"/>
          <w:lang w:val="es-CO"/>
        </w:rPr>
        <w:t>Así se impondría un doble castigo para el delincuente, extensivo a sus herederos, lo cual es inaceptable porque la sanción debe ser personal. Nuestra carta rechaza  semejante pena constituyendo una garantía más de respeto a la propiedad. El Código Penal Colombiano señala todo un sistema de penas, naturalmente, sin incluir la confiscación"</w:t>
      </w:r>
      <w:bookmarkStart w:id="4" w:name="_ftnref5"/>
      <w:r w:rsidR="006F6234">
        <w:fldChar w:fldCharType="begin"/>
      </w:r>
      <w:r>
        <w:instrText xml:space="preserve"> HYPERLINK "http://www.corteconstitucional.gov.co/relatoria/1994/t-254-94.htm" \l "_ftn5" \o "" </w:instrText>
      </w:r>
      <w:r w:rsidR="006F6234">
        <w:fldChar w:fldCharType="separate"/>
      </w:r>
      <w:r>
        <w:rPr>
          <w:rStyle w:val="Refdenotaalpie"/>
          <w:rFonts w:ascii="Times New Roman" w:hAnsi="Times New Roman" w:cs="Times New Roman"/>
          <w:color w:val="0000FF"/>
          <w:sz w:val="28"/>
          <w:szCs w:val="28"/>
          <w:u w:val="single"/>
          <w:lang w:val="es-CO"/>
        </w:rPr>
        <w:t>5</w:t>
      </w:r>
      <w:r w:rsidR="006F6234">
        <w:fldChar w:fldCharType="end"/>
      </w:r>
      <w:bookmarkEnd w:id="4"/>
      <w:r>
        <w:rPr>
          <w:rFonts w:ascii="Times New Roman" w:hAnsi="Times New Roman" w:cs="Times New Roman"/>
          <w:b/>
          <w:bCs/>
          <w:sz w:val="28"/>
          <w:szCs w:val="28"/>
          <w:lang w:val="es-CO"/>
        </w:rPr>
        <w:t xml:space="preserve">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La pena de confiscación no puede ser impuesta por el Estado y, menos aún, por una comunidad indígena que, como lo expresa la Constitución, se gobierna por sus usos y costumbres siempre que ellos no pugnen con la Constitución y la ley imperativa (CP art. 330).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lastRenderedPageBreak/>
        <w:t xml:space="preserve">Si bien la propiedad de la cual puede ser titular una comunidad indígena tiene carácter colectivo, no escapa a esta Corte que en la medida en que sus usos y costumbres permitan el reconocimiento de mejoras efectuadas por sus miembros, la sanción consistente en la expulsión de uno de sus integrantes que, al mismo tiempo, signifique la pérdida absoluta de aquéllas, equivale a la pena de confiscación constitucionalmente proscrita. En verdad, el sujeto pasivo de la sanción y su familia se verían expuestos a una situación de indigencia y de absoluto despojo, motivos que llevaron al Constituyente a señalar que en ningún caso dicha pena podría ser impuesta. Independientemente del sistema privado o colectivo conforme al cual se organice la producción y distribución de bienes, el régimen punitivo no puede contener sanciones que aparejen consecuencias tan extremas para el sujeto pasivo y su familia próxima, como las que provendrían de la pérdida absoluta de sus posibilidades de subsistencia - a través de formas de apropiación privada de la riqueza o de usufructo colectivo - pues, </w:t>
      </w:r>
      <w:proofErr w:type="spellStart"/>
      <w:r>
        <w:rPr>
          <w:rFonts w:ascii="Times New Roman" w:hAnsi="Times New Roman" w:cs="Times New Roman"/>
          <w:sz w:val="28"/>
          <w:szCs w:val="28"/>
          <w:lang w:val="es-CO"/>
        </w:rPr>
        <w:t>éllas</w:t>
      </w:r>
      <w:proofErr w:type="spellEnd"/>
      <w:r>
        <w:rPr>
          <w:rFonts w:ascii="Times New Roman" w:hAnsi="Times New Roman" w:cs="Times New Roman"/>
          <w:sz w:val="28"/>
          <w:szCs w:val="28"/>
          <w:lang w:val="es-CO"/>
        </w:rPr>
        <w:t>, en últimas, configurarían materialmente una confiscación.</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En el presente caso, como se señala más adelante, la prueba del reconocimiento de las mejoras efectuadas por el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debe ser decidida por la </w:t>
      </w:r>
      <w:proofErr w:type="spellStart"/>
      <w:r>
        <w:rPr>
          <w:rFonts w:ascii="Times New Roman" w:hAnsi="Times New Roman" w:cs="Times New Roman"/>
          <w:sz w:val="28"/>
          <w:szCs w:val="28"/>
          <w:lang w:val="es-CO"/>
        </w:rPr>
        <w:t>justiticia</w:t>
      </w:r>
      <w:proofErr w:type="spellEnd"/>
      <w:r>
        <w:rPr>
          <w:rFonts w:ascii="Times New Roman" w:hAnsi="Times New Roman" w:cs="Times New Roman"/>
          <w:sz w:val="28"/>
          <w:szCs w:val="28"/>
          <w:lang w:val="es-CO"/>
        </w:rPr>
        <w:t xml:space="preserve"> ordinaria y, por lo tanto, a ella le corresponde prevenir que una situación de iniquidad manifiesta se </w:t>
      </w:r>
      <w:proofErr w:type="spellStart"/>
      <w:r>
        <w:rPr>
          <w:rFonts w:ascii="Times New Roman" w:hAnsi="Times New Roman" w:cs="Times New Roman"/>
          <w:sz w:val="28"/>
          <w:szCs w:val="28"/>
          <w:lang w:val="es-CO"/>
        </w:rPr>
        <w:t>llege</w:t>
      </w:r>
      <w:proofErr w:type="spellEnd"/>
      <w:r>
        <w:rPr>
          <w:rFonts w:ascii="Times New Roman" w:hAnsi="Times New Roman" w:cs="Times New Roman"/>
          <w:sz w:val="28"/>
          <w:szCs w:val="28"/>
          <w:lang w:val="es-CO"/>
        </w:rPr>
        <w:t xml:space="preserve"> a consumar, con la consecuente vulneración del artículo 38 de la Constitución.</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right="51"/>
        <w:jc w:val="both"/>
      </w:pPr>
      <w:r>
        <w:rPr>
          <w:rFonts w:ascii="Times New Roman" w:hAnsi="Times New Roman" w:cs="Times New Roman"/>
          <w:b/>
          <w:bCs/>
          <w:sz w:val="28"/>
          <w:szCs w:val="28"/>
          <w:lang w:val="es-CO"/>
        </w:rPr>
        <w:t>Derecho al debido proceso y ejercicio de la jurisdicción especial</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right="51"/>
        <w:jc w:val="both"/>
      </w:pPr>
      <w:r>
        <w:rPr>
          <w:rFonts w:ascii="Times New Roman" w:hAnsi="Times New Roman" w:cs="Times New Roman"/>
          <w:sz w:val="28"/>
          <w:szCs w:val="28"/>
          <w:lang w:val="es-CO"/>
        </w:rPr>
        <w:t>14. El derecho fundamental al debido proceso constituye un límite jurídico-material de la jurisdicción especial que ejercen las autoridades de los pueblos indígenas que la realizan según "sus propias normas y procedimientos, siempre y cuando no sean contrarios a la Constitución y a la ley" (CP art. 246). Cualquiera sea el contenido de las disposiciones jurídicas internas de las comunidades indígenas, estás deben respetar los derechos y principios contenidos en el núcleo esencial del derecho consagrado en el artículo 29 de la Carta. En efecto, el derecho fundamental al debido proceso garantiza los principios de legalidad, de imparcialidad, de juez competente, de publicidad, de presunción de inocencia y de proporcionalidad de la conducta típica y de la sanción, así como los derechos de defensa y contradicción. El desconocimiento del mínimo de garantías constitucionales para el juzgamiento y sanción equivale a  vulnerar el derecho fundamental al debido proceso.</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El peticionario afirma que las imputaciones hechas y el juzgamiento realizado en su contra por el cabildo indígena violaron el artículo 29 de la Carta Política, por no ser precedidas de un procedimiento investigativo y </w:t>
      </w:r>
      <w:r>
        <w:rPr>
          <w:rFonts w:ascii="Times New Roman" w:hAnsi="Times New Roman" w:cs="Times New Roman"/>
          <w:sz w:val="28"/>
          <w:szCs w:val="28"/>
          <w:lang w:val="es-CO"/>
        </w:rPr>
        <w:lastRenderedPageBreak/>
        <w:t>estar basadas en meros rumores carentes de sustento probatorio. Agrega que las directivas indígenas amenazaron a los integrantes de la comunidad para que votaran afirmativamente su expulsión.</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La anterior acusación contrasta con el hecho de que con anterioridad a la interposición de la acción de tutela, el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se limitó a exigir el pago de mejoras para abandonar el territorio de la comunidad, no habiendo aducido arbitrariedad alguna en la toma de la decisión, como se desprende de la comunicación dirigida  inicialmente por el actor al comité del Consejo Regional Indígena del Tolima, en la que solicitaba su mediación en el conflicto. Tampoco encuentra la Corte demostrado que al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se le hubiera privado de la posibilidad de oponerse y contradecir las acusaciones elevadas en su contra en la sesión del 28 de diciembre de 1992. Menos credibilidad exhibe su versión, según la cual la decisión de expulsarlo no fue </w:t>
      </w:r>
      <w:proofErr w:type="gramStart"/>
      <w:r>
        <w:rPr>
          <w:rFonts w:ascii="Times New Roman" w:hAnsi="Times New Roman" w:cs="Times New Roman"/>
          <w:sz w:val="28"/>
          <w:szCs w:val="28"/>
          <w:lang w:val="es-CO"/>
        </w:rPr>
        <w:t>imparcial dadas</w:t>
      </w:r>
      <w:proofErr w:type="gramEnd"/>
      <w:r>
        <w:rPr>
          <w:rFonts w:ascii="Times New Roman" w:hAnsi="Times New Roman" w:cs="Times New Roman"/>
          <w:sz w:val="28"/>
          <w:szCs w:val="28"/>
          <w:lang w:val="es-CO"/>
        </w:rPr>
        <w:t xml:space="preserve"> las presiones y amenazas ejercidas por el gobernador sobre la comunidad indígena.</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15. La conducta punible por la que el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fue sancionado se relaciona con el hurto de cultivos, animales y productos agrícolas. La sanción impuesta por la comunidad indígena fue la de expulsarlo junto con su familia del territorio indígena. Según el afectado, las directivas no aceptaron su propuesta de ausentarse voluntariamente siempre y cuando permitieran que sus hijos permanecieran en la parcela a él adjudicada.</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Esta Corporación ha sostenido reiteradamente que las sanciones impuestas al infractor deben guardar proporcionalidad con la conducta sancionada. Las autoridades jurisdiccionales gozan de un amplio margen de discrecionalidad en el uso del poder sancionador atribuido por la Constitución o la ley.  No obstante, este poder no es ilimitado, debe ser razonable y dejar intactos otros valores jurídicos protegidos por el ordenamiento.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La pena impuesta al peticionario involucró la expulsión de éste y de su familia de las tierras de la comunidad indígena, colocando a los integrantes de la familia en una situación económica y social de desventaja por sus circunstancias especiales. De esta forma, la pena trascendió a la persona del infractor y terminó por cobijar a los miembros de su familia, evidenciándose como desproporcionada y contraria a los tratados internacionales sobre derechos humanos. En efecto, la Convención Americana sobre Derechos Humanos, en su artículo 5-2 establece que "la pena no puede trascender la persona del delincuente", de manera que se deja a salvo el derecho a la integridad personal de quienes han sido ajenos al juzgamiento de conductas punibles cometidas por otro.</w:t>
      </w:r>
    </w:p>
    <w:p w:rsidR="00117ACB" w:rsidRDefault="00117ACB" w:rsidP="00117ACB">
      <w:pPr>
        <w:ind w:right="51"/>
        <w:jc w:val="both"/>
      </w:pPr>
      <w:r>
        <w:rPr>
          <w:rFonts w:ascii="Times New Roman" w:hAnsi="Times New Roman" w:cs="Times New Roman"/>
          <w:sz w:val="28"/>
          <w:szCs w:val="28"/>
          <w:lang w:val="es-CO"/>
        </w:rPr>
        <w:lastRenderedPageBreak/>
        <w:t> </w:t>
      </w:r>
    </w:p>
    <w:p w:rsidR="00117ACB" w:rsidRDefault="00117ACB" w:rsidP="00117ACB">
      <w:pPr>
        <w:ind w:right="51"/>
        <w:jc w:val="both"/>
      </w:pPr>
      <w:r>
        <w:rPr>
          <w:rFonts w:ascii="Times New Roman" w:hAnsi="Times New Roman" w:cs="Times New Roman"/>
          <w:sz w:val="28"/>
          <w:szCs w:val="28"/>
          <w:lang w:val="es-CO"/>
        </w:rPr>
        <w:t>Ordinariamente la imposición de una pena, no obstante su individualización, puede materialmente afectar a terceros, ajenos a la infracción, y no por ello ésta deja de tener validez. La expulsión del miembro de una comunidad indígena como medida sancionatoria, sin embargo, tiene una particularidad que exige considerar sus efectos frente a su familia. Las secuelas de la pena, en este caso, revisten mayor gravedad y fácilmente se traducen en punición para los miembros de la familia. Para ellos, la expulsión acarrea la completa ruptura de su entorno cultural y la extinción de su filiación antropológica; de otro lado, la consiguiente y forzosa inserción en un marco cultural diferente, supone la alteración radical de su modo de vida y la necesidad de interactuar en condiciones de inferioridad. Desde el punto de vista de la comunidad indígena, la pérdida de miembros, vista su condición minoritaria, no contribuye a su objetiva conservación.</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Las sanciones o penas colectivas son contrarias al principio de que "nadie podrá ser juzgado sino conforme a leyes preexistentes al acto que se le </w:t>
      </w:r>
      <w:proofErr w:type="gramStart"/>
      <w:r>
        <w:rPr>
          <w:rFonts w:ascii="Times New Roman" w:hAnsi="Times New Roman" w:cs="Times New Roman"/>
          <w:sz w:val="28"/>
          <w:szCs w:val="28"/>
          <w:lang w:val="es-CO"/>
        </w:rPr>
        <w:t>imputa ...</w:t>
      </w:r>
      <w:proofErr w:type="gramEnd"/>
      <w:r>
        <w:rPr>
          <w:rFonts w:ascii="Times New Roman" w:hAnsi="Times New Roman" w:cs="Times New Roman"/>
          <w:sz w:val="28"/>
          <w:szCs w:val="28"/>
          <w:lang w:val="es-CO"/>
        </w:rPr>
        <w:t xml:space="preserve">" (CP art. 29). Adicionalmente, la ley penal se erige sobre el principio de responsabilidad individual, que supone el juzgamiento del acusado y el respeto del principio de presunción de inocencia, presupuestos esenciales del poder sancionatorio del Estado o de los particulares que excepcionalmente ejercen funciones jurisdiccionales. En consecuencia, la pena impuesta al peticionario se revela desproporcionada y materialmente injusta por abarcar a los integrantes de su familia, circunstancia que genera la vulneración de los derechos fundamentales al debido proceso y a la integridad física de sus hijos. La negativa de las directivas del cabildo indígena a aceptar la propuesta de asignar la parcela que trabajaba ANANIAS NARVAEZ a su hijo mayor carece de fundamento jurídico, hace más gravosa la situación del sancionado y priva irracionalmente a sus hijos de la única fuente de subsistencia, como lo muestra el hecho de que con posterioridad a su expulsión fue encontrado nuevamente en terrenos de la comunidad sustrayendo alimentos porque sus "hijos tenían hambre". Esta situación no es consecuencia, como podría pensarse en forma simplista, de la propia conducta del peticionario, sino que se originó en la voluntad de las autoridades indígenas de resolver de plano el problema al expulsar a la familia del infractor. Por lo tanto, la pena de expulsión del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y de su familia como consecuencia de los actos del padre vulneró el derecho al debido proceso, particularmente por trascender la persona del infractor.</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b/>
          <w:bCs/>
          <w:sz w:val="28"/>
          <w:szCs w:val="28"/>
          <w:lang w:val="es-CO"/>
        </w:rPr>
        <w:t xml:space="preserve">Improcedencia de la acción de tutela respecto del pago de mejoras </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right="51"/>
        <w:jc w:val="both"/>
      </w:pPr>
      <w:r>
        <w:rPr>
          <w:rFonts w:ascii="Times New Roman" w:hAnsi="Times New Roman" w:cs="Times New Roman"/>
          <w:sz w:val="28"/>
          <w:szCs w:val="28"/>
          <w:lang w:val="es-CO"/>
        </w:rPr>
        <w:lastRenderedPageBreak/>
        <w:t>16. Correctamente los tribunales de instancia señalan que la acción de tutela no es el mecanismo judicial procedente para obtener el pago de las mejoras reclamadas por el peticionario, más aún cuando no existen usos y costumbres en la comunidad sobre la materia, como puede desprenderse de las declaraciones dispares de los miembros del cabildo indígena. Mientras que para alguno el actor no tendría derecho al pago de mejoras por haber "robado" tres veces, otros, en cambio, no le niegan dicho derecho, sino que discrepan respecto de su cuantía. Ante la ausencia de usos y costumbres indígenas debidamente comprobados en lo que atañe al reconocimiento de las mejoras producidas por el cultivo de la tierra en la comunidad indígena de El Tambo, son aplicables las disposiciones de la ley civil sobre la materia y son los jueces civiles los llamados a dirimir la diferencia que ha surgido entre las partes.</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right="51"/>
        <w:jc w:val="both"/>
      </w:pPr>
      <w:r>
        <w:rPr>
          <w:rFonts w:ascii="Times New Roman" w:hAnsi="Times New Roman" w:cs="Times New Roman"/>
          <w:b/>
          <w:bCs/>
          <w:sz w:val="28"/>
          <w:szCs w:val="28"/>
          <w:lang w:val="es-CO"/>
        </w:rPr>
        <w:t>Revocatoria de las decisiones revisadas y orden impartida a las directivas de la comunidad</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17. La Corte, en ejercicio de la facultad de revisión de las sentencias de tutela, procederá a revocar las decisiones de primera y segunda instancia por encontrar que con la expulsión del peticionario y de su familia por parte de la comunidad indígena de El Tambo, se vulneró su derecho al debido proceso y el derecho a la integridad física de sus hijos. En consecuencia, la mencionada comunidad deberá adoptar una nueva decisión en lo referente a la conducta del peticionario, con estricta sujeción a las normas constitucionales del debido proceso, en particular cuidando de no vulnerar los derechos fundamentales de terceros ajenos a los hechos objeto de juzgamiento y sanción.</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En especial, se ordenará a los miembros del cabildo indígena de El Tambo, velar por la vida e integridad de ANANIAS NARVAEZ y de sus hijos durante el tiempo de su reintegro a la comunidad y mientras se adopta una determinación definitiva sobre su conducta, según sus normas y procedimientos, pero de conformidad con la Constitución y la ley.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center"/>
      </w:pPr>
      <w:r>
        <w:rPr>
          <w:rFonts w:ascii="Times New Roman" w:hAnsi="Times New Roman" w:cs="Times New Roman"/>
          <w:b/>
          <w:bCs/>
          <w:sz w:val="28"/>
          <w:szCs w:val="28"/>
          <w:lang w:val="es-CO"/>
        </w:rPr>
        <w:t>DECISION</w:t>
      </w:r>
    </w:p>
    <w:p w:rsidR="00117ACB" w:rsidRDefault="00117ACB" w:rsidP="00117ACB">
      <w:pPr>
        <w:ind w:right="51"/>
        <w:jc w:val="center"/>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En mérito de lo expuesto, la Sala Tercera de Revisión,</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center"/>
      </w:pPr>
      <w:r>
        <w:rPr>
          <w:rFonts w:ascii="Times New Roman" w:hAnsi="Times New Roman" w:cs="Times New Roman"/>
          <w:b/>
          <w:bCs/>
          <w:sz w:val="28"/>
          <w:szCs w:val="28"/>
          <w:lang w:val="es-CO"/>
        </w:rPr>
        <w:t>RESUELVE:</w:t>
      </w:r>
    </w:p>
    <w:p w:rsidR="00117ACB" w:rsidRDefault="00117ACB" w:rsidP="00117ACB">
      <w:pPr>
        <w:ind w:right="51"/>
        <w:jc w:val="center"/>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b/>
          <w:bCs/>
          <w:sz w:val="28"/>
          <w:szCs w:val="28"/>
          <w:lang w:val="es-CO"/>
        </w:rPr>
        <w:lastRenderedPageBreak/>
        <w:t>PRIMERO.- REVOCAR</w:t>
      </w:r>
      <w:r>
        <w:rPr>
          <w:rFonts w:ascii="Times New Roman" w:hAnsi="Times New Roman" w:cs="Times New Roman"/>
          <w:sz w:val="28"/>
          <w:szCs w:val="28"/>
          <w:lang w:val="es-CO"/>
        </w:rPr>
        <w:t xml:space="preserve"> las sentencias de tutela revisadas, proferidas por la Corte Suprema de Justicia, Sala de Casación Penal, y por el Tribunal Superior del Distrito Judicial del Tolima, Sala Penal, la primera de fecha 14 de diciembre de 1993 y la segunda de fecha  noviembre 4 del mismo año.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b/>
          <w:bCs/>
          <w:sz w:val="28"/>
          <w:szCs w:val="28"/>
          <w:lang w:val="es-CO"/>
        </w:rPr>
        <w:t>SEGUNDO.- CONCEDER</w:t>
      </w:r>
      <w:r>
        <w:rPr>
          <w:rFonts w:ascii="Times New Roman" w:hAnsi="Times New Roman" w:cs="Times New Roman"/>
          <w:sz w:val="28"/>
          <w:szCs w:val="28"/>
          <w:lang w:val="es-CO"/>
        </w:rPr>
        <w:t xml:space="preserve"> la tutela del derecho fundamental al debido proceso al solicitante y del derecho a la integridad física a sus hijos, y, en consecuencia, ordenar a las miembros del cabildo indígena de El Tambo acoger nuevamente en la comunidad indígena, bajo la responsabilidad de ésta, al actor y a su familia, mientras se procede nuevamente a tomar la decisión a que haya lugar por los hechos que se  imputan al señor ANANIAS NARVAEZ, sin que ésta última pueda involucrar a su familia dentro de un juicio que respete las normas y procedimientos de la comunidad, pero con estricta sujeción a la Constitución.</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b/>
          <w:bCs/>
          <w:sz w:val="28"/>
          <w:szCs w:val="28"/>
          <w:lang w:val="es-CO"/>
        </w:rPr>
        <w:t>TERCERO.- ORDENAR</w:t>
      </w:r>
      <w:r>
        <w:rPr>
          <w:rFonts w:ascii="Times New Roman" w:hAnsi="Times New Roman" w:cs="Times New Roman"/>
          <w:sz w:val="28"/>
          <w:szCs w:val="28"/>
          <w:lang w:val="es-CO"/>
        </w:rPr>
        <w:t xml:space="preserve"> a la Sala Penal del Tribunal Superior del Distrito Judicial del Tolima se vigile estrictamente el cumplimiento de la presente providencia, e imponga las sanciones a que haya lugar en caso de incumplimiento.</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b/>
          <w:bCs/>
          <w:sz w:val="28"/>
          <w:szCs w:val="28"/>
          <w:lang w:val="es-CO"/>
        </w:rPr>
        <w:t>CUARTO.-  LIBRESE</w:t>
      </w:r>
      <w:r>
        <w:rPr>
          <w:rFonts w:ascii="Times New Roman" w:hAnsi="Times New Roman" w:cs="Times New Roman"/>
          <w:sz w:val="28"/>
          <w:szCs w:val="28"/>
          <w:lang w:val="es-CO"/>
        </w:rPr>
        <w:t xml:space="preserve"> comunicación al mencionado Tribunal, con miras a que se surta la notificación de esta providencia, según lo establecido en el artículo 36 del Decreto 2591 de 1991.</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Cópiese, notifíquese, comuníquese, cúmplase e insértese en la Gaceta de la Corte Constitucional.</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right="51"/>
        <w:jc w:val="center"/>
      </w:pPr>
      <w:r>
        <w:rPr>
          <w:rFonts w:ascii="Times New Roman" w:hAnsi="Times New Roman" w:cs="Times New Roman"/>
          <w:b/>
          <w:bCs/>
          <w:sz w:val="28"/>
          <w:szCs w:val="28"/>
          <w:lang w:val="es-CO"/>
        </w:rPr>
        <w:t>EDUARDO CIFUENTES MUÑOZ</w:t>
      </w:r>
    </w:p>
    <w:p w:rsidR="00117ACB" w:rsidRDefault="00117ACB" w:rsidP="00117ACB">
      <w:pPr>
        <w:ind w:right="51"/>
        <w:jc w:val="center"/>
      </w:pPr>
      <w:r>
        <w:rPr>
          <w:rFonts w:ascii="Times New Roman" w:hAnsi="Times New Roman" w:cs="Times New Roman"/>
          <w:b/>
          <w:bCs/>
          <w:sz w:val="28"/>
          <w:szCs w:val="28"/>
          <w:lang w:val="es-CO"/>
        </w:rPr>
        <w:t>Magistrado Ponente</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right="51"/>
        <w:jc w:val="center"/>
      </w:pPr>
      <w:r>
        <w:rPr>
          <w:rFonts w:ascii="Times New Roman" w:hAnsi="Times New Roman" w:cs="Times New Roman"/>
          <w:b/>
          <w:bCs/>
          <w:sz w:val="28"/>
          <w:szCs w:val="28"/>
          <w:lang w:val="es-CO"/>
        </w:rPr>
        <w:t>CARLOS GAVIRIA DIAZ</w:t>
      </w:r>
    </w:p>
    <w:p w:rsidR="00117ACB" w:rsidRDefault="00117ACB" w:rsidP="00117ACB">
      <w:pPr>
        <w:ind w:right="51"/>
        <w:jc w:val="center"/>
      </w:pPr>
      <w:r>
        <w:rPr>
          <w:rFonts w:ascii="Times New Roman" w:hAnsi="Times New Roman" w:cs="Times New Roman"/>
          <w:b/>
          <w:bCs/>
          <w:sz w:val="28"/>
          <w:szCs w:val="28"/>
          <w:lang w:val="es-CO"/>
        </w:rPr>
        <w:t>   Magistrado</w:t>
      </w:r>
    </w:p>
    <w:p w:rsidR="00117ACB" w:rsidRDefault="00117ACB" w:rsidP="00117ACB">
      <w:pPr>
        <w:ind w:right="51"/>
        <w:jc w:val="center"/>
      </w:pPr>
      <w:r>
        <w:rPr>
          <w:rFonts w:ascii="Times New Roman" w:hAnsi="Times New Roman" w:cs="Times New Roman"/>
          <w:b/>
          <w:bCs/>
          <w:sz w:val="28"/>
          <w:szCs w:val="28"/>
          <w:lang w:val="es-CO"/>
        </w:rPr>
        <w:t> </w:t>
      </w:r>
    </w:p>
    <w:p w:rsidR="00117ACB" w:rsidRDefault="00117ACB" w:rsidP="00117ACB">
      <w:pPr>
        <w:ind w:right="51"/>
        <w:jc w:val="center"/>
      </w:pPr>
      <w:r>
        <w:rPr>
          <w:rFonts w:ascii="Times New Roman" w:hAnsi="Times New Roman" w:cs="Times New Roman"/>
          <w:b/>
          <w:bCs/>
          <w:sz w:val="28"/>
          <w:szCs w:val="28"/>
          <w:lang w:val="es-CO"/>
        </w:rPr>
        <w:t> </w:t>
      </w:r>
    </w:p>
    <w:p w:rsidR="00117ACB" w:rsidRDefault="00117ACB" w:rsidP="00117ACB">
      <w:pPr>
        <w:ind w:right="51"/>
        <w:jc w:val="center"/>
      </w:pPr>
      <w:r>
        <w:rPr>
          <w:rFonts w:ascii="Times New Roman" w:hAnsi="Times New Roman" w:cs="Times New Roman"/>
          <w:b/>
          <w:bCs/>
          <w:sz w:val="28"/>
          <w:szCs w:val="28"/>
          <w:lang w:val="es-CO"/>
        </w:rPr>
        <w:t> </w:t>
      </w:r>
    </w:p>
    <w:p w:rsidR="00117ACB" w:rsidRDefault="00117ACB" w:rsidP="00117ACB">
      <w:pPr>
        <w:ind w:right="51"/>
        <w:jc w:val="center"/>
      </w:pPr>
      <w:r>
        <w:rPr>
          <w:rFonts w:ascii="Times New Roman" w:hAnsi="Times New Roman" w:cs="Times New Roman"/>
          <w:b/>
          <w:bCs/>
          <w:sz w:val="28"/>
          <w:szCs w:val="28"/>
          <w:lang w:val="es-CO"/>
        </w:rPr>
        <w:lastRenderedPageBreak/>
        <w:t> </w:t>
      </w:r>
    </w:p>
    <w:p w:rsidR="00117ACB" w:rsidRDefault="00117ACB" w:rsidP="00117ACB">
      <w:pPr>
        <w:ind w:right="51"/>
        <w:jc w:val="center"/>
      </w:pPr>
      <w:r>
        <w:rPr>
          <w:rFonts w:ascii="Times New Roman" w:hAnsi="Times New Roman" w:cs="Times New Roman"/>
          <w:b/>
          <w:bCs/>
          <w:sz w:val="28"/>
          <w:szCs w:val="28"/>
          <w:lang w:val="es-CO"/>
        </w:rPr>
        <w:t>JOSE GREGORIO HERNANDEZ GALINDO</w:t>
      </w:r>
    </w:p>
    <w:p w:rsidR="00117ACB" w:rsidRDefault="00117ACB" w:rsidP="00117ACB">
      <w:pPr>
        <w:ind w:right="51"/>
        <w:jc w:val="center"/>
      </w:pPr>
      <w:r>
        <w:rPr>
          <w:rFonts w:ascii="Times New Roman" w:hAnsi="Times New Roman" w:cs="Times New Roman"/>
          <w:b/>
          <w:bCs/>
          <w:sz w:val="28"/>
          <w:szCs w:val="28"/>
          <w:lang w:val="es-CO"/>
        </w:rPr>
        <w:t>Magistrado</w:t>
      </w:r>
    </w:p>
    <w:p w:rsidR="00117ACB" w:rsidRDefault="00117ACB" w:rsidP="00117ACB">
      <w:pPr>
        <w:ind w:right="51"/>
        <w:jc w:val="center"/>
      </w:pPr>
      <w:r>
        <w:rPr>
          <w:rFonts w:ascii="Times New Roman" w:hAnsi="Times New Roman" w:cs="Times New Roman"/>
          <w:b/>
          <w:bCs/>
          <w:sz w:val="28"/>
          <w:szCs w:val="28"/>
          <w:lang w:val="es-CO"/>
        </w:rPr>
        <w:t> </w:t>
      </w:r>
    </w:p>
    <w:p w:rsidR="00117ACB" w:rsidRDefault="00117ACB" w:rsidP="00117ACB">
      <w:pPr>
        <w:ind w:right="51"/>
        <w:jc w:val="center"/>
      </w:pPr>
      <w:r>
        <w:rPr>
          <w:rFonts w:ascii="Times New Roman" w:hAnsi="Times New Roman" w:cs="Times New Roman"/>
          <w:b/>
          <w:bCs/>
          <w:sz w:val="28"/>
          <w:szCs w:val="28"/>
          <w:lang w:val="es-CO"/>
        </w:rPr>
        <w:t> </w:t>
      </w:r>
    </w:p>
    <w:p w:rsidR="00117ACB" w:rsidRDefault="00117ACB" w:rsidP="00117ACB">
      <w:pPr>
        <w:ind w:right="51"/>
        <w:jc w:val="center"/>
      </w:pPr>
      <w:r>
        <w:rPr>
          <w:rFonts w:ascii="Times New Roman" w:hAnsi="Times New Roman" w:cs="Times New Roman"/>
          <w:b/>
          <w:bCs/>
          <w:sz w:val="28"/>
          <w:szCs w:val="28"/>
          <w:lang w:val="es-CO"/>
        </w:rPr>
        <w:t> </w:t>
      </w:r>
    </w:p>
    <w:p w:rsidR="00117ACB" w:rsidRDefault="00117ACB" w:rsidP="00117ACB">
      <w:pPr>
        <w:ind w:right="51"/>
        <w:jc w:val="center"/>
      </w:pPr>
      <w:r>
        <w:rPr>
          <w:rFonts w:ascii="Times New Roman" w:hAnsi="Times New Roman" w:cs="Times New Roman"/>
          <w:b/>
          <w:bCs/>
          <w:sz w:val="28"/>
          <w:szCs w:val="28"/>
          <w:lang w:val="es-CO"/>
        </w:rPr>
        <w:t> </w:t>
      </w:r>
    </w:p>
    <w:p w:rsidR="00117ACB" w:rsidRDefault="00117ACB" w:rsidP="00117ACB">
      <w:pPr>
        <w:ind w:right="51"/>
        <w:jc w:val="center"/>
      </w:pPr>
      <w:r>
        <w:rPr>
          <w:rFonts w:ascii="Times New Roman" w:hAnsi="Times New Roman" w:cs="Times New Roman"/>
          <w:b/>
          <w:bCs/>
          <w:sz w:val="28"/>
          <w:szCs w:val="28"/>
          <w:lang w:val="es-CO"/>
        </w:rPr>
        <w:t> </w:t>
      </w:r>
    </w:p>
    <w:p w:rsidR="00117ACB" w:rsidRDefault="00117ACB" w:rsidP="00117ACB">
      <w:pPr>
        <w:ind w:right="51"/>
        <w:jc w:val="center"/>
      </w:pPr>
      <w:r>
        <w:rPr>
          <w:rFonts w:ascii="Times New Roman" w:hAnsi="Times New Roman" w:cs="Times New Roman"/>
          <w:b/>
          <w:bCs/>
          <w:sz w:val="28"/>
          <w:szCs w:val="28"/>
          <w:lang w:val="es-CO"/>
        </w:rPr>
        <w:t>MARTHA V. SACHICA DE MONCALEANO</w:t>
      </w:r>
    </w:p>
    <w:p w:rsidR="00117ACB" w:rsidRDefault="00117ACB" w:rsidP="00117ACB">
      <w:pPr>
        <w:ind w:right="51"/>
        <w:jc w:val="center"/>
      </w:pPr>
      <w:r>
        <w:rPr>
          <w:rFonts w:ascii="Times New Roman" w:hAnsi="Times New Roman" w:cs="Times New Roman"/>
          <w:b/>
          <w:bCs/>
          <w:sz w:val="28"/>
          <w:szCs w:val="28"/>
          <w:lang w:val="es-CO"/>
        </w:rPr>
        <w:t>Secretaria General</w:t>
      </w:r>
    </w:p>
    <w:p w:rsidR="00117ACB" w:rsidRDefault="00117ACB" w:rsidP="00117ACB">
      <w:pPr>
        <w:ind w:right="51"/>
        <w:jc w:val="center"/>
      </w:pPr>
      <w:r>
        <w:rPr>
          <w:rFonts w:ascii="Times New Roman" w:hAnsi="Times New Roman" w:cs="Times New Roman"/>
          <w:b/>
          <w:bCs/>
          <w:sz w:val="28"/>
          <w:szCs w:val="28"/>
          <w:lang w:val="es-CO"/>
        </w:rPr>
        <w:t> </w:t>
      </w:r>
    </w:p>
    <w:p w:rsidR="00117ACB" w:rsidRDefault="00117ACB" w:rsidP="00117ACB">
      <w:pPr>
        <w:ind w:right="51"/>
        <w:jc w:val="center"/>
      </w:pPr>
      <w:r>
        <w:rPr>
          <w:rFonts w:ascii="Times New Roman" w:hAnsi="Times New Roman" w:cs="Times New Roman"/>
          <w:b/>
          <w:bCs/>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(Sentencia aprobada por la Sala Tercera de Revisión, en la ciudad de Santa Fe de Bogotá, D.C., a los treinta (30) días del mes de mayo de mil novecientos noventa y cuatro (1994)).       </w:t>
      </w:r>
    </w:p>
    <w:p w:rsidR="00117ACB" w:rsidRDefault="00117ACB" w:rsidP="00117ACB">
      <w:r>
        <w:rPr>
          <w:rFonts w:ascii="Times New Roman" w:hAnsi="Times New Roman" w:cs="Times New Roman"/>
          <w:sz w:val="28"/>
          <w:szCs w:val="28"/>
          <w:lang w:val="es-CO"/>
        </w:rPr>
        <w:t> </w:t>
      </w:r>
    </w:p>
    <w:p w:rsidR="00117ACB" w:rsidRDefault="00117ACB" w:rsidP="00117ACB">
      <w:pPr>
        <w:autoSpaceDE/>
        <w:autoSpaceDN/>
        <w:rPr>
          <w:rFonts w:ascii="Times New Roman" w:hAnsi="Times New Roman" w:cs="Times New Roman"/>
          <w:sz w:val="20"/>
          <w:szCs w:val="20"/>
        </w:rPr>
      </w:pPr>
      <w:r>
        <w:rPr>
          <w:rFonts w:ascii="Times New Roman" w:hAnsi="Times New Roman" w:cs="Times New Roman"/>
          <w:sz w:val="20"/>
          <w:szCs w:val="20"/>
        </w:rPr>
        <w:br w:type="textWrapping" w:clear="all"/>
      </w:r>
    </w:p>
    <w:p w:rsidR="00117ACB" w:rsidRDefault="006F6234" w:rsidP="00117ACB">
      <w:pPr>
        <w:autoSpaceDE/>
        <w:autoSpaceDN/>
        <w:rPr>
          <w:rFonts w:ascii="Times New Roman" w:hAnsi="Times New Roman" w:cs="Times New Roman"/>
          <w:sz w:val="20"/>
          <w:szCs w:val="20"/>
        </w:rPr>
      </w:pPr>
      <w:r w:rsidRPr="006F6234">
        <w:rPr>
          <w:rFonts w:ascii="Times New Roman" w:hAnsi="Times New Roman" w:cs="Times New Roman"/>
          <w:sz w:val="20"/>
          <w:szCs w:val="20"/>
        </w:rPr>
        <w:pict>
          <v:rect id="_x0000_i1026" style="width:140.3pt;height:.75pt" o:hrpct="330" o:hrstd="t" o:hr="t" fillcolor="#9d9da1" stroked="f"/>
        </w:pict>
      </w:r>
    </w:p>
    <w:bookmarkStart w:id="5" w:name="_ftn1"/>
    <w:p w:rsidR="00117ACB" w:rsidRDefault="006F6234" w:rsidP="00117ACB">
      <w:pPr>
        <w:pStyle w:val="Textonotapie"/>
      </w:pPr>
      <w:r>
        <w:fldChar w:fldCharType="begin"/>
      </w:r>
      <w:r w:rsidR="00117ACB">
        <w:instrText xml:space="preserve"> HYPERLINK "http://www.corteconstitucional.gov.co/relatoria/1994/t-254-94.htm" \l "_ftnref1" \o "" </w:instrText>
      </w:r>
      <w:r>
        <w:fldChar w:fldCharType="separate"/>
      </w:r>
      <w:r w:rsidR="00117ACB">
        <w:rPr>
          <w:rStyle w:val="Refdenotaalpie"/>
          <w:rFonts w:ascii="Courier" w:hAnsi="Courier"/>
          <w:color w:val="0000FF"/>
          <w:sz w:val="16"/>
          <w:szCs w:val="16"/>
          <w:u w:val="single"/>
          <w:lang w:val="es-ES_tradnl"/>
        </w:rPr>
        <w:t>1</w:t>
      </w:r>
      <w:r>
        <w:fldChar w:fldCharType="end"/>
      </w:r>
      <w:bookmarkEnd w:id="5"/>
      <w:r w:rsidR="00117ACB">
        <w:rPr>
          <w:rFonts w:ascii="Courier" w:hAnsi="Courier"/>
          <w:lang w:val="es-ES_tradnl"/>
        </w:rPr>
        <w:t xml:space="preserve"> Corte Constitucional Sentencia T-380 de 1993</w:t>
      </w:r>
    </w:p>
    <w:bookmarkStart w:id="6" w:name="_ftn2"/>
    <w:p w:rsidR="00117ACB" w:rsidRDefault="006F6234" w:rsidP="00117ACB">
      <w:pPr>
        <w:pStyle w:val="Textonotapie"/>
      </w:pPr>
      <w:r>
        <w:fldChar w:fldCharType="begin"/>
      </w:r>
      <w:r w:rsidR="00117ACB">
        <w:instrText xml:space="preserve"> HYPERLINK "http://www.corteconstitucional.gov.co/relatoria/1994/t-254-94.htm" \l "_ftnref2" \o "" </w:instrText>
      </w:r>
      <w:r>
        <w:fldChar w:fldCharType="separate"/>
      </w:r>
      <w:r w:rsidR="00117ACB">
        <w:rPr>
          <w:rStyle w:val="Refdenotaalpie"/>
          <w:rFonts w:ascii="Courier" w:hAnsi="Courier"/>
          <w:color w:val="0000FF"/>
          <w:sz w:val="16"/>
          <w:szCs w:val="16"/>
          <w:u w:val="single"/>
          <w:lang w:val="es-ES_tradnl"/>
        </w:rPr>
        <w:t>2</w:t>
      </w:r>
      <w:r>
        <w:fldChar w:fldCharType="end"/>
      </w:r>
      <w:bookmarkEnd w:id="6"/>
      <w:r w:rsidR="00117ACB">
        <w:rPr>
          <w:rFonts w:ascii="Courier" w:hAnsi="Courier"/>
          <w:lang w:val="es-ES_tradnl"/>
        </w:rPr>
        <w:t xml:space="preserve"> TÖNNIES, </w:t>
      </w:r>
      <w:proofErr w:type="spellStart"/>
      <w:r w:rsidR="00117ACB">
        <w:rPr>
          <w:rFonts w:ascii="Courier" w:hAnsi="Courier"/>
          <w:lang w:val="es-ES_tradnl"/>
        </w:rPr>
        <w:t>Ferdinand</w:t>
      </w:r>
      <w:proofErr w:type="spellEnd"/>
      <w:r w:rsidR="00117ACB">
        <w:rPr>
          <w:rFonts w:ascii="Courier" w:hAnsi="Courier"/>
          <w:lang w:val="es-ES_tradnl"/>
        </w:rPr>
        <w:t>. Comunidad y sociedad. Categorías fundamentales de la sociología pura (1887)</w:t>
      </w:r>
    </w:p>
    <w:bookmarkStart w:id="7" w:name="_ftn3"/>
    <w:p w:rsidR="00117ACB" w:rsidRDefault="006F6234" w:rsidP="00117ACB">
      <w:pPr>
        <w:pStyle w:val="Textonotapie"/>
      </w:pPr>
      <w:r>
        <w:fldChar w:fldCharType="begin"/>
      </w:r>
      <w:r w:rsidR="00117ACB">
        <w:instrText xml:space="preserve"> HYPERLINK "http://www.corteconstitucional.gov.co/relatoria/1994/t-254-94.htm" \l "_ftnref3" \o "" </w:instrText>
      </w:r>
      <w:r>
        <w:fldChar w:fldCharType="separate"/>
      </w:r>
      <w:r w:rsidR="00117ACB">
        <w:rPr>
          <w:rStyle w:val="Refdenotaalpie"/>
          <w:rFonts w:ascii="Courier" w:hAnsi="Courier"/>
          <w:color w:val="0000FF"/>
          <w:sz w:val="16"/>
          <w:szCs w:val="16"/>
          <w:u w:val="single"/>
          <w:lang w:val="es-ES_tradnl"/>
        </w:rPr>
        <w:t>3</w:t>
      </w:r>
      <w:r>
        <w:fldChar w:fldCharType="end"/>
      </w:r>
      <w:bookmarkEnd w:id="7"/>
      <w:r w:rsidR="00117ACB">
        <w:rPr>
          <w:rFonts w:ascii="Courier" w:hAnsi="Courier"/>
          <w:lang w:val="es-ES_tradnl"/>
        </w:rPr>
        <w:t xml:space="preserve"> </w:t>
      </w:r>
      <w:proofErr w:type="spellStart"/>
      <w:r w:rsidR="00117ACB">
        <w:rPr>
          <w:rFonts w:ascii="Courier" w:hAnsi="Courier"/>
          <w:lang w:val="es-ES_tradnl"/>
        </w:rPr>
        <w:t>Heller</w:t>
      </w:r>
      <w:proofErr w:type="spellEnd"/>
      <w:r w:rsidR="00117ACB">
        <w:rPr>
          <w:rFonts w:ascii="Courier" w:hAnsi="Courier"/>
          <w:lang w:val="es-ES_tradnl"/>
        </w:rPr>
        <w:t xml:space="preserve"> </w:t>
      </w:r>
      <w:proofErr w:type="spellStart"/>
      <w:r w:rsidR="00117ACB">
        <w:rPr>
          <w:rFonts w:ascii="Courier" w:hAnsi="Courier"/>
          <w:lang w:val="es-ES_tradnl"/>
        </w:rPr>
        <w:t>Agnes</w:t>
      </w:r>
      <w:proofErr w:type="spellEnd"/>
      <w:r w:rsidR="00117ACB">
        <w:rPr>
          <w:rFonts w:ascii="Courier" w:hAnsi="Courier"/>
          <w:lang w:val="es-ES_tradnl"/>
        </w:rPr>
        <w:t xml:space="preserve">, </w:t>
      </w:r>
      <w:proofErr w:type="gramStart"/>
      <w:r w:rsidR="00117ACB">
        <w:rPr>
          <w:rFonts w:ascii="Courier" w:hAnsi="Courier"/>
          <w:lang w:val="es-ES_tradnl"/>
        </w:rPr>
        <w:t>Mas</w:t>
      </w:r>
      <w:proofErr w:type="gramEnd"/>
      <w:r w:rsidR="00117ACB">
        <w:rPr>
          <w:rFonts w:ascii="Courier" w:hAnsi="Courier"/>
          <w:lang w:val="es-ES_tradnl"/>
        </w:rPr>
        <w:t xml:space="preserve"> allá de la Justicia, capítulo I.</w:t>
      </w:r>
    </w:p>
    <w:bookmarkStart w:id="8" w:name="_ftn4"/>
    <w:p w:rsidR="00117ACB" w:rsidRDefault="006F6234" w:rsidP="00117ACB">
      <w:pPr>
        <w:pStyle w:val="Textonotapie"/>
      </w:pPr>
      <w:r>
        <w:fldChar w:fldCharType="begin"/>
      </w:r>
      <w:r w:rsidR="00117ACB">
        <w:instrText xml:space="preserve"> HYPERLINK "http://www.corteconstitucional.gov.co/relatoria/1994/t-254-94.htm" \l "_ftnref4" \o "" </w:instrText>
      </w:r>
      <w:r>
        <w:fldChar w:fldCharType="separate"/>
      </w:r>
      <w:r w:rsidR="00117ACB">
        <w:rPr>
          <w:rStyle w:val="Refdenotaalpie"/>
          <w:rFonts w:ascii="Courier" w:hAnsi="Courier"/>
          <w:color w:val="0000FF"/>
          <w:sz w:val="16"/>
          <w:szCs w:val="16"/>
          <w:u w:val="single"/>
          <w:lang w:val="es-ES_tradnl"/>
        </w:rPr>
        <w:t>4</w:t>
      </w:r>
      <w:r>
        <w:fldChar w:fldCharType="end"/>
      </w:r>
      <w:bookmarkEnd w:id="8"/>
      <w:r w:rsidR="00117ACB">
        <w:rPr>
          <w:rFonts w:ascii="Courier" w:hAnsi="Courier"/>
          <w:lang w:val="es-ES_tradnl"/>
        </w:rPr>
        <w:t xml:space="preserve"> </w:t>
      </w:r>
      <w:proofErr w:type="spellStart"/>
      <w:r w:rsidR="00117ACB">
        <w:rPr>
          <w:rFonts w:ascii="Courier" w:hAnsi="Courier"/>
          <w:lang w:val="es-ES_tradnl"/>
        </w:rPr>
        <w:t>Bobbio</w:t>
      </w:r>
      <w:proofErr w:type="spellEnd"/>
      <w:r w:rsidR="00117ACB">
        <w:rPr>
          <w:rFonts w:ascii="Courier" w:hAnsi="Courier"/>
          <w:lang w:val="es-ES_tradnl"/>
        </w:rPr>
        <w:t>, Norberto en "Presente y Futuro de los Derechos del Hombre", p. 132., citado por UPRIMMY, Rodrigo: "La Dialéctica de los Derechos Humanos en Colombia" (1992)</w:t>
      </w:r>
    </w:p>
    <w:bookmarkStart w:id="9" w:name="_ftn5"/>
    <w:p w:rsidR="00117ACB" w:rsidRDefault="006F6234" w:rsidP="00117ACB">
      <w:pPr>
        <w:pStyle w:val="Textonotapie"/>
        <w:jc w:val="both"/>
      </w:pPr>
      <w:r>
        <w:fldChar w:fldCharType="begin"/>
      </w:r>
      <w:r w:rsidR="00117ACB">
        <w:instrText xml:space="preserve"> HYPERLINK "http://www.corteconstitucional.gov.co/relatoria/1994/t-254-94.htm" \l "_ftnref5" \o "" </w:instrText>
      </w:r>
      <w:r>
        <w:fldChar w:fldCharType="separate"/>
      </w:r>
      <w:r w:rsidR="00117ACB">
        <w:rPr>
          <w:rStyle w:val="Refdenotaalpie"/>
          <w:rFonts w:ascii="Courier" w:hAnsi="Courier"/>
          <w:color w:val="0000FF"/>
          <w:sz w:val="16"/>
          <w:szCs w:val="16"/>
          <w:u w:val="single"/>
          <w:lang w:val="es-ES_tradnl"/>
        </w:rPr>
        <w:t>5</w:t>
      </w:r>
      <w:r>
        <w:fldChar w:fldCharType="end"/>
      </w:r>
      <w:bookmarkEnd w:id="9"/>
      <w:r w:rsidR="00117ACB">
        <w:rPr>
          <w:rFonts w:ascii="Courier" w:hAnsi="Courier"/>
          <w:lang w:val="es-ES_tradnl"/>
        </w:rPr>
        <w:t xml:space="preserve"> Asamblea Nacional Constituyente. Informe ponencia: </w:t>
      </w:r>
      <w:proofErr w:type="gramStart"/>
      <w:r w:rsidR="00117ACB">
        <w:rPr>
          <w:rFonts w:ascii="Courier" w:hAnsi="Courier"/>
          <w:lang w:val="es-ES_tradnl"/>
        </w:rPr>
        <w:t>Prescripción ,</w:t>
      </w:r>
      <w:proofErr w:type="gramEnd"/>
      <w:r w:rsidR="00117ACB">
        <w:rPr>
          <w:rFonts w:ascii="Courier" w:hAnsi="Courier"/>
          <w:lang w:val="es-ES_tradnl"/>
        </w:rPr>
        <w:t xml:space="preserve"> confiscación, notariado. Gaceta Constitucional Nº 66 p. 12</w:t>
      </w:r>
    </w:p>
    <w:p w:rsidR="00033CD0" w:rsidRDefault="00117ACB">
      <w:r w:rsidRPr="00117ACB">
        <w:t>http://www.corteconstitucional.gov.co/relatoria/1994/t-254-94.htm</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Roman PS">
    <w:altName w:val="Times New Roman"/>
    <w:charset w:val="00"/>
    <w:family w:val="auto"/>
    <w:pitch w:val="default"/>
    <w:sig w:usb0="00000000" w:usb1="00000000" w:usb2="00000000" w:usb3="00000000" w:csb0="0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A33B7"/>
    <w:rsid w:val="00033CD0"/>
    <w:rsid w:val="00081FB4"/>
    <w:rsid w:val="00117ACB"/>
    <w:rsid w:val="00597794"/>
    <w:rsid w:val="00622087"/>
    <w:rsid w:val="006737F6"/>
    <w:rsid w:val="006F6234"/>
    <w:rsid w:val="007602F4"/>
    <w:rsid w:val="00BA33B7"/>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ACB"/>
    <w:pPr>
      <w:autoSpaceDE w:val="0"/>
      <w:autoSpaceDN w:val="0"/>
      <w:spacing w:after="0"/>
      <w:jc w:val="left"/>
    </w:pPr>
    <w:rPr>
      <w:rFonts w:ascii="Arial" w:eastAsia="Times New Roman" w:hAnsi="Arial" w:cs="Arial"/>
      <w:kern w:val="0"/>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117ACB"/>
    <w:rPr>
      <w:rFonts w:ascii="Roman PS" w:hAnsi="Roman PS" w:cs="Times New Roman"/>
      <w:sz w:val="20"/>
      <w:szCs w:val="20"/>
    </w:rPr>
  </w:style>
  <w:style w:type="character" w:customStyle="1" w:styleId="TextonotapieCar">
    <w:name w:val="Texto nota pie Car"/>
    <w:basedOn w:val="Fuentedeprrafopredeter"/>
    <w:link w:val="Textonotapie"/>
    <w:uiPriority w:val="99"/>
    <w:semiHidden/>
    <w:rsid w:val="00117ACB"/>
    <w:rPr>
      <w:rFonts w:ascii="Roman PS" w:eastAsia="Times New Roman" w:hAnsi="Roman PS" w:cs="Times New Roman"/>
      <w:kern w:val="0"/>
      <w:sz w:val="20"/>
      <w:szCs w:val="20"/>
      <w:lang w:eastAsia="es-ES"/>
    </w:rPr>
  </w:style>
  <w:style w:type="character" w:styleId="Refdenotaalpie">
    <w:name w:val="footnote reference"/>
    <w:basedOn w:val="Fuentedeprrafopredeter"/>
    <w:uiPriority w:val="99"/>
    <w:semiHidden/>
    <w:unhideWhenUsed/>
    <w:rsid w:val="00117ACB"/>
    <w:rPr>
      <w:rFonts w:ascii="Roman PS" w:hAnsi="Roman PS" w:hint="default"/>
    </w:rPr>
  </w:style>
</w:styles>
</file>

<file path=word/webSettings.xml><?xml version="1.0" encoding="utf-8"?>
<w:webSettings xmlns:r="http://schemas.openxmlformats.org/officeDocument/2006/relationships" xmlns:w="http://schemas.openxmlformats.org/wordprocessingml/2006/main">
  <w:divs>
    <w:div w:id="625697015">
      <w:bodyDiv w:val="1"/>
      <w:marLeft w:val="0"/>
      <w:marRight w:val="0"/>
      <w:marTop w:val="0"/>
      <w:marBottom w:val="0"/>
      <w:divBdr>
        <w:top w:val="none" w:sz="0" w:space="0" w:color="auto"/>
        <w:left w:val="none" w:sz="0" w:space="0" w:color="auto"/>
        <w:bottom w:val="none" w:sz="0" w:space="0" w:color="auto"/>
        <w:right w:val="none" w:sz="0" w:space="0" w:color="auto"/>
      </w:divBdr>
      <w:divsChild>
        <w:div w:id="1685206164">
          <w:marLeft w:val="0"/>
          <w:marRight w:val="0"/>
          <w:marTop w:val="0"/>
          <w:marBottom w:val="0"/>
          <w:divBdr>
            <w:top w:val="none" w:sz="0" w:space="0" w:color="auto"/>
            <w:left w:val="none" w:sz="0" w:space="0" w:color="auto"/>
            <w:bottom w:val="none" w:sz="0" w:space="0" w:color="auto"/>
            <w:right w:val="none" w:sz="0" w:space="0" w:color="auto"/>
          </w:divBdr>
          <w:divsChild>
            <w:div w:id="2142797175">
              <w:marLeft w:val="0"/>
              <w:marRight w:val="0"/>
              <w:marTop w:val="0"/>
              <w:marBottom w:val="0"/>
              <w:divBdr>
                <w:top w:val="none" w:sz="0" w:space="0" w:color="auto"/>
                <w:left w:val="none" w:sz="0" w:space="0" w:color="auto"/>
                <w:bottom w:val="none" w:sz="0" w:space="0" w:color="auto"/>
                <w:right w:val="none" w:sz="0" w:space="0" w:color="auto"/>
              </w:divBdr>
              <w:divsChild>
                <w:div w:id="465392536">
                  <w:marLeft w:val="0"/>
                  <w:marRight w:val="0"/>
                  <w:marTop w:val="0"/>
                  <w:marBottom w:val="0"/>
                  <w:divBdr>
                    <w:top w:val="none" w:sz="0" w:space="0" w:color="auto"/>
                    <w:left w:val="none" w:sz="0" w:space="0" w:color="auto"/>
                    <w:bottom w:val="none" w:sz="0" w:space="0" w:color="auto"/>
                    <w:right w:val="none" w:sz="0" w:space="0" w:color="auto"/>
                  </w:divBdr>
                  <w:divsChild>
                    <w:div w:id="365763858">
                      <w:marLeft w:val="0"/>
                      <w:marRight w:val="0"/>
                      <w:marTop w:val="0"/>
                      <w:marBottom w:val="0"/>
                      <w:divBdr>
                        <w:top w:val="none" w:sz="0" w:space="0" w:color="auto"/>
                        <w:left w:val="none" w:sz="0" w:space="0" w:color="auto"/>
                        <w:bottom w:val="none" w:sz="0" w:space="0" w:color="auto"/>
                        <w:right w:val="none" w:sz="0" w:space="0" w:color="auto"/>
                      </w:divBdr>
                    </w:div>
                    <w:div w:id="1138523864">
                      <w:marLeft w:val="0"/>
                      <w:marRight w:val="0"/>
                      <w:marTop w:val="0"/>
                      <w:marBottom w:val="0"/>
                      <w:divBdr>
                        <w:top w:val="none" w:sz="0" w:space="0" w:color="auto"/>
                        <w:left w:val="none" w:sz="0" w:space="0" w:color="auto"/>
                        <w:bottom w:val="none" w:sz="0" w:space="0" w:color="auto"/>
                        <w:right w:val="none" w:sz="0" w:space="0" w:color="auto"/>
                      </w:divBdr>
                    </w:div>
                    <w:div w:id="1151827712">
                      <w:marLeft w:val="0"/>
                      <w:marRight w:val="0"/>
                      <w:marTop w:val="0"/>
                      <w:marBottom w:val="0"/>
                      <w:divBdr>
                        <w:top w:val="none" w:sz="0" w:space="0" w:color="auto"/>
                        <w:left w:val="none" w:sz="0" w:space="0" w:color="auto"/>
                        <w:bottom w:val="none" w:sz="0" w:space="0" w:color="auto"/>
                        <w:right w:val="none" w:sz="0" w:space="0" w:color="auto"/>
                      </w:divBdr>
                    </w:div>
                    <w:div w:id="1635141676">
                      <w:marLeft w:val="0"/>
                      <w:marRight w:val="0"/>
                      <w:marTop w:val="0"/>
                      <w:marBottom w:val="0"/>
                      <w:divBdr>
                        <w:top w:val="none" w:sz="0" w:space="0" w:color="auto"/>
                        <w:left w:val="none" w:sz="0" w:space="0" w:color="auto"/>
                        <w:bottom w:val="none" w:sz="0" w:space="0" w:color="auto"/>
                        <w:right w:val="none" w:sz="0" w:space="0" w:color="auto"/>
                      </w:divBdr>
                    </w:div>
                    <w:div w:id="162707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10994</Words>
  <Characters>60467</Characters>
  <Application>Microsoft Office Word</Application>
  <DocSecurity>0</DocSecurity>
  <Lines>503</Lines>
  <Paragraphs>142</Paragraphs>
  <ScaleCrop>false</ScaleCrop>
  <Company/>
  <LinksUpToDate>false</LinksUpToDate>
  <CharactersWithSpaces>71319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2010-08-15T15:45:00Z</dcterms:created>
  <dcterms:modified xsi:type="dcterms:W3CDTF">2010-08-15T15:45:00Z</dcterms:modified>
</cp:coreProperties>
</file>