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97B" w:rsidRDefault="0016497B" w:rsidP="0016497B">
      <w:pPr>
        <w:pStyle w:val="NormalWeb"/>
        <w:jc w:val="center"/>
        <w:rPr>
          <w:rFonts w:ascii="Arial" w:hAnsi="Arial" w:cs="Arial"/>
          <w:b/>
          <w:bCs/>
          <w:vertAlign w:val="superscript"/>
        </w:rPr>
      </w:pPr>
      <w:r>
        <w:rPr>
          <w:rFonts w:ascii="Arial" w:hAnsi="Arial" w:cs="Arial"/>
          <w:b/>
          <w:bCs/>
        </w:rPr>
        <w:t>LEY 1157 DE 2007</w:t>
      </w:r>
      <w:r>
        <w:rPr>
          <w:rFonts w:ascii="Arial" w:hAnsi="Arial" w:cs="Arial"/>
          <w:b/>
          <w:bCs/>
          <w:vertAlign w:val="superscript"/>
        </w:rPr>
        <w:t>*</w:t>
      </w:r>
    </w:p>
    <w:p w:rsidR="0016497B" w:rsidRDefault="0016497B" w:rsidP="0016497B">
      <w:pPr>
        <w:pStyle w:val="NormalWeb"/>
        <w:jc w:val="center"/>
        <w:rPr>
          <w:rFonts w:ascii="Arial" w:hAnsi="Arial" w:cs="Arial"/>
          <w:b/>
          <w:bCs/>
        </w:rPr>
      </w:pPr>
      <w:r>
        <w:rPr>
          <w:rFonts w:ascii="Arial" w:hAnsi="Arial" w:cs="Arial"/>
          <w:b/>
          <w:bCs/>
        </w:rPr>
        <w:t>(</w:t>
      </w:r>
      <w:proofErr w:type="gramStart"/>
      <w:r>
        <w:rPr>
          <w:rFonts w:ascii="Arial" w:hAnsi="Arial" w:cs="Arial"/>
          <w:b/>
          <w:bCs/>
        </w:rPr>
        <w:t>septiembre</w:t>
      </w:r>
      <w:proofErr w:type="gramEnd"/>
      <w:r>
        <w:rPr>
          <w:rFonts w:ascii="Arial" w:hAnsi="Arial" w:cs="Arial"/>
          <w:b/>
          <w:bCs/>
        </w:rPr>
        <w:t xml:space="preserve"> 20)</w:t>
      </w:r>
    </w:p>
    <w:p w:rsidR="0016497B" w:rsidRDefault="0016497B" w:rsidP="0016497B">
      <w:pPr>
        <w:pStyle w:val="NormalWeb"/>
        <w:jc w:val="center"/>
        <w:rPr>
          <w:rFonts w:ascii="Arial" w:hAnsi="Arial" w:cs="Arial"/>
          <w:b/>
          <w:bCs/>
        </w:rPr>
      </w:pPr>
      <w:proofErr w:type="gramStart"/>
      <w:r>
        <w:rPr>
          <w:rFonts w:ascii="Arial" w:hAnsi="Arial" w:cs="Arial"/>
          <w:b/>
          <w:bCs/>
        </w:rPr>
        <w:t>por</w:t>
      </w:r>
      <w:proofErr w:type="gramEnd"/>
      <w:r>
        <w:rPr>
          <w:rFonts w:ascii="Arial" w:hAnsi="Arial" w:cs="Arial"/>
          <w:b/>
          <w:bCs/>
        </w:rPr>
        <w:t xml:space="preserve"> la cual se desarrolla el artículo </w:t>
      </w:r>
      <w:hyperlink r:id="rId4" w:anchor="227" w:history="1">
        <w:r>
          <w:rPr>
            <w:rStyle w:val="Hipervnculo"/>
            <w:rFonts w:ascii="Arial" w:hAnsi="Arial" w:cs="Arial"/>
            <w:b/>
            <w:bCs/>
          </w:rPr>
          <w:t>227</w:t>
        </w:r>
      </w:hyperlink>
      <w:r>
        <w:rPr>
          <w:rFonts w:ascii="Arial" w:hAnsi="Arial" w:cs="Arial"/>
          <w:b/>
          <w:bCs/>
        </w:rPr>
        <w:t xml:space="preserve"> de la Constitución Política, con relación a la elección directa de parlamentarios andinos.</w:t>
      </w:r>
    </w:p>
    <w:p w:rsidR="0016497B" w:rsidRDefault="0016497B" w:rsidP="0016497B">
      <w:pPr>
        <w:pStyle w:val="NormalWeb"/>
        <w:jc w:val="center"/>
        <w:rPr>
          <w:rFonts w:ascii="Arial" w:hAnsi="Arial" w:cs="Arial"/>
          <w:b/>
          <w:bCs/>
        </w:rPr>
      </w:pPr>
      <w:r>
        <w:rPr>
          <w:rFonts w:ascii="Arial" w:hAnsi="Arial" w:cs="Arial"/>
          <w:b/>
          <w:bCs/>
        </w:rPr>
        <w:t>El Congreso de la República</w:t>
      </w:r>
    </w:p>
    <w:p w:rsidR="0016497B" w:rsidRDefault="0016497B" w:rsidP="0016497B">
      <w:pPr>
        <w:pStyle w:val="NormalWeb"/>
        <w:jc w:val="center"/>
        <w:rPr>
          <w:rFonts w:ascii="Arial" w:hAnsi="Arial" w:cs="Arial"/>
          <w:b/>
          <w:bCs/>
        </w:rPr>
      </w:pPr>
      <w:r>
        <w:rPr>
          <w:rFonts w:ascii="Arial" w:hAnsi="Arial" w:cs="Arial"/>
          <w:b/>
          <w:bCs/>
        </w:rPr>
        <w:t xml:space="preserve">DECRETA: </w:t>
      </w:r>
    </w:p>
    <w:p w:rsidR="0016497B" w:rsidRDefault="0016497B" w:rsidP="0016497B">
      <w:pPr>
        <w:pStyle w:val="NormalWeb"/>
        <w:rPr>
          <w:rFonts w:ascii="Arial" w:hAnsi="Arial" w:cs="Arial"/>
        </w:rPr>
      </w:pPr>
      <w:r>
        <w:rPr>
          <w:rFonts w:ascii="Arial" w:hAnsi="Arial" w:cs="Arial"/>
          <w:b/>
          <w:bCs/>
        </w:rPr>
        <w:t xml:space="preserve">Artículo 1°. </w:t>
      </w:r>
      <w:r>
        <w:rPr>
          <w:rFonts w:ascii="Arial" w:hAnsi="Arial" w:cs="Arial"/>
          <w:i/>
          <w:iCs/>
        </w:rPr>
        <w:t xml:space="preserve">Del objeto. </w:t>
      </w:r>
      <w:r>
        <w:rPr>
          <w:rFonts w:ascii="Arial" w:hAnsi="Arial" w:cs="Arial"/>
        </w:rPr>
        <w:t xml:space="preserve">En desarrollo de lo dispuesto en el artículo </w:t>
      </w:r>
      <w:hyperlink r:id="rId5" w:anchor="227" w:history="1">
        <w:r>
          <w:rPr>
            <w:rStyle w:val="Hipervnculo"/>
            <w:rFonts w:ascii="Arial" w:hAnsi="Arial" w:cs="Arial"/>
          </w:rPr>
          <w:t>227</w:t>
        </w:r>
      </w:hyperlink>
      <w:r>
        <w:rPr>
          <w:rFonts w:ascii="Arial" w:hAnsi="Arial" w:cs="Arial"/>
        </w:rPr>
        <w:t xml:space="preserve"> de la Constitución Política de Colombia, los ciudadanos elegirán en forma directa y mediante sufragio universal y secreto cinco (5) representantes de Colombia al Parlamento Andino.</w:t>
      </w:r>
    </w:p>
    <w:p w:rsidR="0016497B" w:rsidRDefault="0016497B" w:rsidP="0016497B">
      <w:pPr>
        <w:pStyle w:val="NormalWeb"/>
        <w:rPr>
          <w:rFonts w:ascii="Arial" w:hAnsi="Arial" w:cs="Arial"/>
        </w:rPr>
      </w:pPr>
      <w:r>
        <w:rPr>
          <w:rFonts w:ascii="Arial" w:hAnsi="Arial" w:cs="Arial"/>
          <w:b/>
          <w:bCs/>
        </w:rPr>
        <w:t xml:space="preserve">Artículo 2°. </w:t>
      </w:r>
      <w:r>
        <w:rPr>
          <w:rFonts w:ascii="Arial" w:hAnsi="Arial" w:cs="Arial"/>
          <w:i/>
          <w:iCs/>
        </w:rPr>
        <w:t xml:space="preserve">Del régimen electoral aplicable. </w:t>
      </w:r>
      <w:r>
        <w:rPr>
          <w:rFonts w:ascii="Arial" w:hAnsi="Arial" w:cs="Arial"/>
        </w:rPr>
        <w:t>Mientras se establece un régimen electoral uniforme, el sistema de elección de los Representantes ante el Parlamento Andino se regirá de acuerdo con la legislación electoral colombiana en el entendido de que el régimen electoral transitorio establecido en la presente ley dejará de ser aplicable cuando entren en vigencia los instrumentos que establezcan el régimen electoral uniforme, salvo en lo que este difiera expresamente a la normatividad, interna colombiana.</w:t>
      </w:r>
    </w:p>
    <w:p w:rsidR="0016497B" w:rsidRDefault="0016497B" w:rsidP="0016497B">
      <w:pPr>
        <w:pStyle w:val="NormalWeb"/>
        <w:rPr>
          <w:rFonts w:ascii="Arial" w:hAnsi="Arial" w:cs="Arial"/>
        </w:rPr>
      </w:pPr>
      <w:r>
        <w:rPr>
          <w:rFonts w:ascii="Arial" w:hAnsi="Arial" w:cs="Arial"/>
          <w:b/>
          <w:bCs/>
        </w:rPr>
        <w:t xml:space="preserve">Artículo 3°. </w:t>
      </w:r>
      <w:r>
        <w:rPr>
          <w:rFonts w:ascii="Arial" w:hAnsi="Arial" w:cs="Arial"/>
          <w:i/>
          <w:iCs/>
        </w:rPr>
        <w:t>De las calidades</w:t>
      </w:r>
      <w:r>
        <w:rPr>
          <w:rFonts w:ascii="Arial" w:hAnsi="Arial" w:cs="Arial"/>
        </w:rPr>
        <w:t>. Para ser elegido al Parlamento Andino en representación de Colombia se requieren las mismas condiciones que se exigen para ser elegido Senador de la República.</w:t>
      </w:r>
    </w:p>
    <w:p w:rsidR="0016497B" w:rsidRDefault="0016497B" w:rsidP="0016497B">
      <w:pPr>
        <w:pStyle w:val="NormalWeb"/>
        <w:rPr>
          <w:rFonts w:ascii="Arial" w:hAnsi="Arial" w:cs="Arial"/>
        </w:rPr>
      </w:pPr>
      <w:r>
        <w:rPr>
          <w:rFonts w:ascii="Arial" w:hAnsi="Arial" w:cs="Arial"/>
          <w:b/>
          <w:bCs/>
        </w:rPr>
        <w:t xml:space="preserve">Artículo 4°. </w:t>
      </w:r>
      <w:r>
        <w:rPr>
          <w:rFonts w:ascii="Arial" w:hAnsi="Arial" w:cs="Arial"/>
          <w:i/>
          <w:iCs/>
        </w:rPr>
        <w:t xml:space="preserve">De los deberes, prohibiciones, inhabilidades e incompatibilidades. </w:t>
      </w:r>
      <w:r>
        <w:rPr>
          <w:rFonts w:ascii="Arial" w:hAnsi="Arial" w:cs="Arial"/>
        </w:rPr>
        <w:t>A los Representantes por Colombia al Parlamento Andino les serán aplicables las mismas normas sobre deberes, prohibiciones, inhabilidades e incompatibilidades que rigen para los Senadores de la República, además de las que establezcan Tratados Internacionales.</w:t>
      </w:r>
    </w:p>
    <w:p w:rsidR="0016497B" w:rsidRDefault="0016497B" w:rsidP="0016497B">
      <w:pPr>
        <w:pStyle w:val="NormalWeb"/>
        <w:rPr>
          <w:rFonts w:ascii="Arial" w:hAnsi="Arial" w:cs="Arial"/>
        </w:rPr>
      </w:pPr>
      <w:r>
        <w:rPr>
          <w:rFonts w:ascii="Arial" w:hAnsi="Arial" w:cs="Arial"/>
          <w:b/>
          <w:bCs/>
        </w:rPr>
        <w:t xml:space="preserve">Artículo 5°. </w:t>
      </w:r>
      <w:r>
        <w:rPr>
          <w:rFonts w:ascii="Arial" w:hAnsi="Arial" w:cs="Arial"/>
          <w:i/>
          <w:iCs/>
        </w:rPr>
        <w:t xml:space="preserve">De la inscripción de candidaturas. </w:t>
      </w:r>
      <w:r>
        <w:rPr>
          <w:rFonts w:ascii="Arial" w:hAnsi="Arial" w:cs="Arial"/>
        </w:rPr>
        <w:t>El Registrador Nacional del Estado Civil o los Registradores Departamentales, inscribirán los candidatos a solicitud de los representantes de los Partidos y Movimientos Políticos con personería jurídica reconocida en la República de Colombia, o de los movimientos sociales o un grupo significativo de ciudadanos colombianos.</w:t>
      </w:r>
    </w:p>
    <w:p w:rsidR="0016497B" w:rsidRDefault="0016497B" w:rsidP="0016497B">
      <w:pPr>
        <w:pStyle w:val="NormalWeb"/>
        <w:rPr>
          <w:rFonts w:ascii="Arial" w:hAnsi="Arial" w:cs="Arial"/>
        </w:rPr>
      </w:pPr>
      <w:r>
        <w:rPr>
          <w:rFonts w:ascii="Arial" w:hAnsi="Arial" w:cs="Arial"/>
          <w:b/>
          <w:bCs/>
        </w:rPr>
        <w:t xml:space="preserve">Artículo 6°. </w:t>
      </w:r>
      <w:r>
        <w:rPr>
          <w:rFonts w:ascii="Arial" w:hAnsi="Arial" w:cs="Arial"/>
          <w:i/>
          <w:iCs/>
        </w:rPr>
        <w:t xml:space="preserve">Reposición de votos. </w:t>
      </w:r>
      <w:r>
        <w:rPr>
          <w:rFonts w:ascii="Arial" w:hAnsi="Arial" w:cs="Arial"/>
        </w:rPr>
        <w:t>Los candidatos elegidos al Parlamento Andino tendrán derecho a la reposición estatal por los votos válidos obtenidos, en los términos de esta ley.</w:t>
      </w:r>
    </w:p>
    <w:p w:rsidR="0016497B" w:rsidRDefault="0016497B" w:rsidP="0016497B">
      <w:pPr>
        <w:pStyle w:val="NormalWeb"/>
        <w:rPr>
          <w:rFonts w:ascii="Arial" w:hAnsi="Arial" w:cs="Arial"/>
        </w:rPr>
      </w:pPr>
      <w:r>
        <w:rPr>
          <w:rFonts w:ascii="Arial" w:hAnsi="Arial" w:cs="Arial"/>
          <w:b/>
          <w:bCs/>
        </w:rPr>
        <w:t xml:space="preserve">Artículo 7°. </w:t>
      </w:r>
      <w:r>
        <w:rPr>
          <w:rFonts w:ascii="Arial" w:hAnsi="Arial" w:cs="Arial"/>
          <w:i/>
          <w:iCs/>
        </w:rPr>
        <w:t xml:space="preserve">Fórmula de conversión de votos y proceso de adjudicación de curules. </w:t>
      </w:r>
      <w:r>
        <w:rPr>
          <w:rFonts w:ascii="Arial" w:hAnsi="Arial" w:cs="Arial"/>
        </w:rPr>
        <w:t>Para las elecciones de Parlamentarios Andinos se aplicará el sistema de cifra repartidora, de acuerdo con la votación alcanzada entre las listas que superen el umbral del 2% del total de los votos emitidos válidamente en las elecciones de Parlamento Andino.</w:t>
      </w:r>
    </w:p>
    <w:p w:rsidR="0016497B" w:rsidRDefault="0016497B" w:rsidP="0016497B">
      <w:pPr>
        <w:pStyle w:val="NormalWeb"/>
        <w:rPr>
          <w:rFonts w:ascii="Arial" w:hAnsi="Arial" w:cs="Arial"/>
        </w:rPr>
      </w:pPr>
      <w:r>
        <w:rPr>
          <w:rFonts w:ascii="Arial" w:hAnsi="Arial" w:cs="Arial"/>
          <w:b/>
          <w:bCs/>
        </w:rPr>
        <w:lastRenderedPageBreak/>
        <w:t xml:space="preserve">Artículo 8°. </w:t>
      </w:r>
      <w:r>
        <w:rPr>
          <w:rFonts w:ascii="Arial" w:hAnsi="Arial" w:cs="Arial"/>
          <w:i/>
          <w:iCs/>
        </w:rPr>
        <w:t xml:space="preserve">Fecha de elecciones y período. </w:t>
      </w:r>
      <w:r>
        <w:rPr>
          <w:rFonts w:ascii="Arial" w:hAnsi="Arial" w:cs="Arial"/>
        </w:rPr>
        <w:t>Hasta tanto la Comunidad Andina establezca un Régimen Electoral uniforme, las elecciones para los Representantes por Colombia al Parlamento Andino se realizará el mismo día en que se efectúen las elecciones generales de Congreso Colombiano. El período será institucional y será el mismo que para Senadores y Representantes.</w:t>
      </w:r>
    </w:p>
    <w:p w:rsidR="0016497B" w:rsidRDefault="0016497B" w:rsidP="0016497B">
      <w:pPr>
        <w:pStyle w:val="NormalWeb"/>
        <w:rPr>
          <w:rFonts w:ascii="Arial" w:hAnsi="Arial" w:cs="Arial"/>
        </w:rPr>
      </w:pPr>
      <w:r>
        <w:rPr>
          <w:rFonts w:ascii="Arial" w:hAnsi="Arial" w:cs="Arial"/>
          <w:b/>
          <w:bCs/>
        </w:rPr>
        <w:t xml:space="preserve">Artículo 9°. </w:t>
      </w:r>
      <w:r>
        <w:rPr>
          <w:rFonts w:ascii="Arial" w:hAnsi="Arial" w:cs="Arial"/>
          <w:i/>
          <w:iCs/>
        </w:rPr>
        <w:t xml:space="preserve">Declaratoria de elección de titulares. </w:t>
      </w:r>
      <w:r>
        <w:rPr>
          <w:rFonts w:ascii="Arial" w:hAnsi="Arial" w:cs="Arial"/>
        </w:rPr>
        <w:t>El Consejo Nacional Electoral, como suprema autoridad electoral, declarará la elección de los Representantes titulares por Colombia al Parlamento Andino y los acreditará ante este organismo.</w:t>
      </w:r>
    </w:p>
    <w:p w:rsidR="0016497B" w:rsidRDefault="0016497B" w:rsidP="0016497B">
      <w:pPr>
        <w:pStyle w:val="NormalWeb"/>
        <w:rPr>
          <w:rFonts w:ascii="Arial" w:hAnsi="Arial" w:cs="Arial"/>
        </w:rPr>
      </w:pPr>
      <w:r>
        <w:rPr>
          <w:rFonts w:ascii="Arial" w:hAnsi="Arial" w:cs="Arial"/>
          <w:b/>
          <w:bCs/>
        </w:rPr>
        <w:t xml:space="preserve">Artículo 10. </w:t>
      </w:r>
      <w:r>
        <w:rPr>
          <w:rFonts w:ascii="Arial" w:hAnsi="Arial" w:cs="Arial"/>
          <w:i/>
          <w:iCs/>
        </w:rPr>
        <w:t>Vacíos</w:t>
      </w:r>
      <w:r>
        <w:rPr>
          <w:rFonts w:ascii="Arial" w:hAnsi="Arial" w:cs="Arial"/>
        </w:rPr>
        <w:t>. Mientras los países andinos establecen un régimen electoral uniforme, en caso de que se presenten vacíos, estos se interpretarán con las normas que le son aplicables a la elección de Senadores de la República.</w:t>
      </w:r>
    </w:p>
    <w:p w:rsidR="0016497B" w:rsidRDefault="0016497B" w:rsidP="0016497B">
      <w:pPr>
        <w:pStyle w:val="NormalWeb"/>
        <w:rPr>
          <w:rFonts w:ascii="Arial" w:hAnsi="Arial" w:cs="Arial"/>
        </w:rPr>
      </w:pPr>
      <w:r>
        <w:rPr>
          <w:rFonts w:ascii="Arial" w:hAnsi="Arial" w:cs="Arial"/>
          <w:b/>
          <w:bCs/>
        </w:rPr>
        <w:t xml:space="preserve">Artículo 11. </w:t>
      </w:r>
      <w:r>
        <w:rPr>
          <w:rFonts w:ascii="Arial" w:hAnsi="Arial" w:cs="Arial"/>
          <w:i/>
          <w:iCs/>
        </w:rPr>
        <w:t>Vigencia</w:t>
      </w:r>
      <w:r>
        <w:rPr>
          <w:rFonts w:ascii="Arial" w:hAnsi="Arial" w:cs="Arial"/>
        </w:rPr>
        <w:t>. La presente ley rige a partir de su publicación y deroga las normas que le sean contrarias en el entendido de que el régimen electoral transitorio establecido en la presente ley dejará de ser aplicable cuando entren en vigencia los instrumentos que establezcan el régimen electoral uniforme, salvo en lo que este difiera expresamente a la normatividad interna colombiana.</w:t>
      </w:r>
    </w:p>
    <w:p w:rsidR="0016497B" w:rsidRDefault="0016497B" w:rsidP="0016497B">
      <w:pPr>
        <w:pStyle w:val="NormalWeb"/>
        <w:jc w:val="center"/>
        <w:rPr>
          <w:rFonts w:ascii="Arial" w:hAnsi="Arial" w:cs="Arial"/>
          <w:b/>
          <w:bCs/>
        </w:rPr>
      </w:pPr>
      <w:r>
        <w:rPr>
          <w:rFonts w:ascii="Arial" w:hAnsi="Arial" w:cs="Arial"/>
          <w:b/>
          <w:bCs/>
        </w:rPr>
        <w:t>La Presidenta del honorable Senado de la República,</w:t>
      </w:r>
    </w:p>
    <w:p w:rsidR="0016497B" w:rsidRDefault="0016497B" w:rsidP="0016497B">
      <w:pPr>
        <w:pStyle w:val="NormalWeb"/>
        <w:jc w:val="center"/>
        <w:rPr>
          <w:rFonts w:ascii="Arial" w:hAnsi="Arial" w:cs="Arial"/>
          <w:b/>
          <w:bCs/>
          <w:i/>
          <w:iCs/>
        </w:rPr>
      </w:pPr>
      <w:r>
        <w:rPr>
          <w:rFonts w:ascii="Arial" w:hAnsi="Arial" w:cs="Arial"/>
          <w:b/>
          <w:bCs/>
          <w:i/>
          <w:iCs/>
        </w:rPr>
        <w:t>Nancy Patricia Gutiérrez Castañeda.</w:t>
      </w:r>
    </w:p>
    <w:p w:rsidR="0016497B" w:rsidRDefault="0016497B" w:rsidP="0016497B">
      <w:pPr>
        <w:pStyle w:val="NormalWeb"/>
        <w:jc w:val="center"/>
        <w:rPr>
          <w:rFonts w:ascii="Arial" w:hAnsi="Arial" w:cs="Arial"/>
          <w:b/>
          <w:bCs/>
        </w:rPr>
      </w:pPr>
      <w:r>
        <w:rPr>
          <w:rFonts w:ascii="Arial" w:hAnsi="Arial" w:cs="Arial"/>
          <w:b/>
          <w:bCs/>
        </w:rPr>
        <w:t>El Secretario General del honorable Senado de la República,</w:t>
      </w:r>
    </w:p>
    <w:p w:rsidR="0016497B" w:rsidRDefault="0016497B" w:rsidP="0016497B">
      <w:pPr>
        <w:pStyle w:val="NormalWeb"/>
        <w:jc w:val="center"/>
        <w:rPr>
          <w:rFonts w:ascii="Arial" w:hAnsi="Arial" w:cs="Arial"/>
          <w:b/>
          <w:bCs/>
          <w:i/>
          <w:iCs/>
        </w:rPr>
      </w:pPr>
      <w:r>
        <w:rPr>
          <w:rFonts w:ascii="Arial" w:hAnsi="Arial" w:cs="Arial"/>
          <w:b/>
          <w:bCs/>
          <w:i/>
          <w:iCs/>
        </w:rPr>
        <w:t xml:space="preserve">Emilio Ramón Otero </w:t>
      </w:r>
      <w:proofErr w:type="spellStart"/>
      <w:r>
        <w:rPr>
          <w:rFonts w:ascii="Arial" w:hAnsi="Arial" w:cs="Arial"/>
          <w:b/>
          <w:bCs/>
          <w:i/>
          <w:iCs/>
        </w:rPr>
        <w:t>Dajud</w:t>
      </w:r>
      <w:proofErr w:type="spellEnd"/>
      <w:r>
        <w:rPr>
          <w:rFonts w:ascii="Arial" w:hAnsi="Arial" w:cs="Arial"/>
          <w:b/>
          <w:bCs/>
          <w:i/>
          <w:iCs/>
        </w:rPr>
        <w:t>.</w:t>
      </w:r>
    </w:p>
    <w:p w:rsidR="0016497B" w:rsidRDefault="0016497B" w:rsidP="0016497B">
      <w:pPr>
        <w:pStyle w:val="NormalWeb"/>
        <w:jc w:val="center"/>
        <w:rPr>
          <w:rFonts w:ascii="Arial" w:hAnsi="Arial" w:cs="Arial"/>
          <w:b/>
          <w:bCs/>
        </w:rPr>
      </w:pPr>
      <w:r>
        <w:rPr>
          <w:rFonts w:ascii="Arial" w:hAnsi="Arial" w:cs="Arial"/>
          <w:b/>
          <w:bCs/>
        </w:rPr>
        <w:t>El Presidente de la honorable Cámara de Representantes,</w:t>
      </w:r>
    </w:p>
    <w:p w:rsidR="0016497B" w:rsidRDefault="0016497B" w:rsidP="0016497B">
      <w:pPr>
        <w:pStyle w:val="NormalWeb"/>
        <w:jc w:val="center"/>
        <w:rPr>
          <w:rFonts w:ascii="Arial" w:hAnsi="Arial" w:cs="Arial"/>
          <w:b/>
          <w:bCs/>
          <w:i/>
          <w:iCs/>
        </w:rPr>
      </w:pPr>
      <w:r>
        <w:rPr>
          <w:rFonts w:ascii="Arial" w:hAnsi="Arial" w:cs="Arial"/>
          <w:b/>
          <w:bCs/>
          <w:i/>
          <w:iCs/>
        </w:rPr>
        <w:t>Oscar Arboleda Palacio.</w:t>
      </w:r>
    </w:p>
    <w:p w:rsidR="0016497B" w:rsidRDefault="0016497B" w:rsidP="0016497B">
      <w:pPr>
        <w:pStyle w:val="NormalWeb"/>
        <w:jc w:val="center"/>
        <w:rPr>
          <w:rFonts w:ascii="Arial" w:hAnsi="Arial" w:cs="Arial"/>
          <w:b/>
          <w:bCs/>
        </w:rPr>
      </w:pPr>
      <w:r>
        <w:rPr>
          <w:rFonts w:ascii="Arial" w:hAnsi="Arial" w:cs="Arial"/>
          <w:b/>
          <w:bCs/>
        </w:rPr>
        <w:t>El Secretario General de la honorable Cámara de Representantes,</w:t>
      </w:r>
    </w:p>
    <w:p w:rsidR="0016497B" w:rsidRDefault="0016497B" w:rsidP="0016497B">
      <w:pPr>
        <w:pStyle w:val="NormalWeb"/>
        <w:jc w:val="center"/>
        <w:rPr>
          <w:rFonts w:ascii="Arial" w:hAnsi="Arial" w:cs="Arial"/>
          <w:b/>
          <w:bCs/>
          <w:i/>
          <w:iCs/>
        </w:rPr>
      </w:pPr>
      <w:r>
        <w:rPr>
          <w:rFonts w:ascii="Arial" w:hAnsi="Arial" w:cs="Arial"/>
          <w:b/>
          <w:bCs/>
          <w:i/>
          <w:iCs/>
        </w:rPr>
        <w:t>Angelino Lizcano Rivera.</w:t>
      </w:r>
    </w:p>
    <w:p w:rsidR="0016497B" w:rsidRDefault="0016497B" w:rsidP="0016497B">
      <w:pPr>
        <w:pStyle w:val="NormalWeb"/>
        <w:jc w:val="center"/>
        <w:rPr>
          <w:rFonts w:ascii="Arial" w:hAnsi="Arial" w:cs="Arial"/>
          <w:b/>
          <w:bCs/>
        </w:rPr>
      </w:pPr>
      <w:r>
        <w:rPr>
          <w:rFonts w:ascii="Arial" w:hAnsi="Arial" w:cs="Arial"/>
          <w:b/>
          <w:bCs/>
        </w:rPr>
        <w:t>REPUBLICA DE COLOMBIA - GOBIERNO NACIONAL</w:t>
      </w:r>
    </w:p>
    <w:p w:rsidR="0016497B" w:rsidRDefault="0016497B" w:rsidP="0016497B">
      <w:pPr>
        <w:pStyle w:val="NormalWeb"/>
        <w:jc w:val="center"/>
        <w:rPr>
          <w:rFonts w:ascii="Arial" w:hAnsi="Arial" w:cs="Arial"/>
          <w:b/>
          <w:bCs/>
        </w:rPr>
      </w:pPr>
      <w:r>
        <w:rPr>
          <w:rFonts w:ascii="Arial" w:hAnsi="Arial" w:cs="Arial"/>
          <w:b/>
          <w:bCs/>
        </w:rPr>
        <w:t>Publíquese y ejecútese.</w:t>
      </w:r>
    </w:p>
    <w:p w:rsidR="0016497B" w:rsidRDefault="0016497B" w:rsidP="0016497B">
      <w:pPr>
        <w:pStyle w:val="NormalWeb"/>
        <w:jc w:val="center"/>
        <w:rPr>
          <w:rFonts w:ascii="Arial" w:hAnsi="Arial" w:cs="Arial"/>
          <w:b/>
          <w:bCs/>
        </w:rPr>
      </w:pPr>
      <w:r>
        <w:rPr>
          <w:rFonts w:ascii="Arial" w:hAnsi="Arial" w:cs="Arial"/>
          <w:b/>
          <w:bCs/>
        </w:rPr>
        <w:t>Dada en Bogotá, D. C., a 20 de septiembre de 2007.</w:t>
      </w:r>
    </w:p>
    <w:p w:rsidR="0016497B" w:rsidRDefault="0016497B" w:rsidP="0016497B">
      <w:pPr>
        <w:pStyle w:val="NormalWeb"/>
        <w:jc w:val="center"/>
        <w:rPr>
          <w:rFonts w:ascii="Arial" w:hAnsi="Arial" w:cs="Arial"/>
          <w:b/>
          <w:bCs/>
        </w:rPr>
      </w:pPr>
      <w:r>
        <w:rPr>
          <w:rFonts w:ascii="Arial" w:hAnsi="Arial" w:cs="Arial"/>
          <w:b/>
          <w:bCs/>
        </w:rPr>
        <w:t>ÁLVARO URIBE VÉLEZ</w:t>
      </w:r>
    </w:p>
    <w:p w:rsidR="0016497B" w:rsidRDefault="0016497B" w:rsidP="0016497B">
      <w:pPr>
        <w:pStyle w:val="NormalWeb"/>
        <w:jc w:val="center"/>
        <w:rPr>
          <w:rFonts w:ascii="Arial" w:hAnsi="Arial" w:cs="Arial"/>
          <w:b/>
          <w:bCs/>
        </w:rPr>
      </w:pPr>
      <w:r>
        <w:rPr>
          <w:rFonts w:ascii="Arial" w:hAnsi="Arial" w:cs="Arial"/>
          <w:b/>
          <w:bCs/>
        </w:rPr>
        <w:t>El Ministro del Interior y de Justicia,</w:t>
      </w:r>
    </w:p>
    <w:p w:rsidR="0016497B" w:rsidRDefault="0016497B" w:rsidP="0016497B">
      <w:pPr>
        <w:pStyle w:val="NormalWeb"/>
        <w:jc w:val="center"/>
        <w:rPr>
          <w:rFonts w:ascii="Arial" w:hAnsi="Arial" w:cs="Arial"/>
          <w:b/>
          <w:bCs/>
          <w:i/>
          <w:iCs/>
        </w:rPr>
      </w:pPr>
      <w:r>
        <w:rPr>
          <w:rFonts w:ascii="Arial" w:hAnsi="Arial" w:cs="Arial"/>
          <w:b/>
          <w:bCs/>
          <w:i/>
          <w:iCs/>
        </w:rPr>
        <w:t xml:space="preserve">Carlos Holguín </w:t>
      </w:r>
      <w:proofErr w:type="spellStart"/>
      <w:r>
        <w:rPr>
          <w:rFonts w:ascii="Arial" w:hAnsi="Arial" w:cs="Arial"/>
          <w:b/>
          <w:bCs/>
          <w:i/>
          <w:iCs/>
        </w:rPr>
        <w:t>Sardi</w:t>
      </w:r>
      <w:proofErr w:type="spellEnd"/>
      <w:r>
        <w:rPr>
          <w:rFonts w:ascii="Arial" w:hAnsi="Arial" w:cs="Arial"/>
          <w:b/>
          <w:bCs/>
          <w:i/>
          <w:iCs/>
        </w:rPr>
        <w:t>.</w:t>
      </w:r>
    </w:p>
    <w:p w:rsidR="0016497B" w:rsidRDefault="0016497B" w:rsidP="0016497B">
      <w:pPr>
        <w:pStyle w:val="NormalWeb"/>
        <w:jc w:val="center"/>
        <w:rPr>
          <w:rFonts w:ascii="Arial" w:hAnsi="Arial" w:cs="Arial"/>
          <w:b/>
          <w:bCs/>
        </w:rPr>
      </w:pPr>
      <w:r>
        <w:rPr>
          <w:rFonts w:ascii="Arial" w:hAnsi="Arial" w:cs="Arial"/>
          <w:b/>
          <w:bCs/>
        </w:rPr>
        <w:lastRenderedPageBreak/>
        <w:t>El Ministro de Relaciones Exteriores,</w:t>
      </w:r>
    </w:p>
    <w:p w:rsidR="0016497B" w:rsidRDefault="0016497B" w:rsidP="0016497B">
      <w:pPr>
        <w:pStyle w:val="NormalWeb"/>
        <w:jc w:val="center"/>
        <w:rPr>
          <w:rFonts w:ascii="Arial" w:hAnsi="Arial" w:cs="Arial"/>
          <w:b/>
          <w:bCs/>
          <w:i/>
          <w:iCs/>
        </w:rPr>
      </w:pPr>
      <w:r>
        <w:rPr>
          <w:rFonts w:ascii="Arial" w:hAnsi="Arial" w:cs="Arial"/>
          <w:b/>
          <w:bCs/>
          <w:i/>
          <w:iCs/>
        </w:rPr>
        <w:t xml:space="preserve">Fernando </w:t>
      </w:r>
      <w:proofErr w:type="spellStart"/>
      <w:r>
        <w:rPr>
          <w:rFonts w:ascii="Arial" w:hAnsi="Arial" w:cs="Arial"/>
          <w:b/>
          <w:bCs/>
          <w:i/>
          <w:iCs/>
        </w:rPr>
        <w:t>Araújo</w:t>
      </w:r>
      <w:proofErr w:type="spellEnd"/>
      <w:r>
        <w:rPr>
          <w:rFonts w:ascii="Arial" w:hAnsi="Arial" w:cs="Arial"/>
          <w:b/>
          <w:bCs/>
          <w:i/>
          <w:iCs/>
        </w:rPr>
        <w:t xml:space="preserve"> Perdomo.</w:t>
      </w:r>
    </w:p>
    <w:p w:rsidR="0016497B" w:rsidRDefault="0016497B" w:rsidP="0016497B">
      <w:pPr>
        <w:pStyle w:val="NormalWeb"/>
        <w:rPr>
          <w:rFonts w:ascii="Arial" w:hAnsi="Arial" w:cs="Arial"/>
          <w:sz w:val="20"/>
          <w:szCs w:val="20"/>
        </w:rPr>
      </w:pPr>
      <w:r>
        <w:rPr>
          <w:rFonts w:ascii="Cambria Math" w:hAnsi="Cambria Math" w:cs="Cambria Math"/>
          <w:sz w:val="20"/>
          <w:szCs w:val="20"/>
          <w:vertAlign w:val="superscript"/>
        </w:rPr>
        <w:t>∗</w:t>
      </w:r>
      <w:r>
        <w:rPr>
          <w:rFonts w:ascii="Arial" w:hAnsi="Arial" w:cs="Arial"/>
          <w:sz w:val="20"/>
          <w:szCs w:val="20"/>
          <w:vertAlign w:val="superscript"/>
        </w:rPr>
        <w:t xml:space="preserve"> </w:t>
      </w:r>
      <w:r>
        <w:rPr>
          <w:rFonts w:ascii="Arial" w:hAnsi="Arial" w:cs="Arial"/>
          <w:sz w:val="20"/>
          <w:szCs w:val="20"/>
        </w:rPr>
        <w:t xml:space="preserve">Control Previo de Constitucionalidad Sentencia C-502 de 2007, Magistrado Ponente: Manuel José Cepeda Espinosa, </w:t>
      </w:r>
      <w:proofErr w:type="spellStart"/>
      <w:r>
        <w:rPr>
          <w:rFonts w:ascii="Arial" w:hAnsi="Arial" w:cs="Arial"/>
          <w:sz w:val="20"/>
          <w:szCs w:val="20"/>
        </w:rPr>
        <w:t>Exp</w:t>
      </w:r>
      <w:proofErr w:type="spellEnd"/>
      <w:r>
        <w:rPr>
          <w:rFonts w:ascii="Arial" w:hAnsi="Arial" w:cs="Arial"/>
          <w:sz w:val="20"/>
          <w:szCs w:val="20"/>
        </w:rPr>
        <w:t>. PE-028 Corte Constitucional.</w:t>
      </w:r>
    </w:p>
    <w:p w:rsidR="0016497B" w:rsidRDefault="0016497B" w:rsidP="0016497B">
      <w:pPr>
        <w:pStyle w:val="NormalWeb"/>
        <w:rPr>
          <w:rFonts w:ascii="Arial" w:hAnsi="Arial" w:cs="Arial"/>
          <w:b/>
          <w:bCs/>
        </w:rPr>
      </w:pPr>
      <w:r>
        <w:rPr>
          <w:rFonts w:ascii="Arial" w:hAnsi="Arial" w:cs="Arial"/>
          <w:b/>
          <w:bCs/>
        </w:rPr>
        <w:t>NOTA: Publicado en el Diario Oficial 46.757 de septiembre 20 de 2007.</w:t>
      </w:r>
    </w:p>
    <w:p w:rsidR="00033CD0" w:rsidRDefault="0016497B">
      <w:r w:rsidRPr="0016497B">
        <w:t>http://www.alcaldiabogota.gov.co/sisjur/normas/Norma1.jsp?i=26995#0</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708"/>
  <w:hyphenationZone w:val="425"/>
  <w:characterSpacingControl w:val="doNotCompress"/>
  <w:compat/>
  <w:rsids>
    <w:rsidRoot w:val="000C310A"/>
    <w:rsid w:val="00033CD0"/>
    <w:rsid w:val="000C310A"/>
    <w:rsid w:val="0016497B"/>
    <w:rsid w:val="00A61E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6497B"/>
    <w:rPr>
      <w:color w:val="0000FF"/>
      <w:u w:val="single"/>
    </w:rPr>
  </w:style>
  <w:style w:type="paragraph" w:styleId="NormalWeb">
    <w:name w:val="Normal (Web)"/>
    <w:basedOn w:val="Normal"/>
    <w:uiPriority w:val="99"/>
    <w:semiHidden/>
    <w:unhideWhenUsed/>
    <w:rsid w:val="0016497B"/>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2145461337">
      <w:bodyDiv w:val="1"/>
      <w:marLeft w:val="0"/>
      <w:marRight w:val="0"/>
      <w:marTop w:val="0"/>
      <w:marBottom w:val="0"/>
      <w:divBdr>
        <w:top w:val="none" w:sz="0" w:space="0" w:color="auto"/>
        <w:left w:val="none" w:sz="0" w:space="0" w:color="auto"/>
        <w:bottom w:val="none" w:sz="0" w:space="0" w:color="auto"/>
        <w:right w:val="none" w:sz="0" w:space="0" w:color="auto"/>
      </w:divBdr>
      <w:divsChild>
        <w:div w:id="509368987">
          <w:marLeft w:val="0"/>
          <w:marRight w:val="0"/>
          <w:marTop w:val="0"/>
          <w:marBottom w:val="0"/>
          <w:divBdr>
            <w:top w:val="none" w:sz="0" w:space="0" w:color="auto"/>
            <w:left w:val="none" w:sz="0" w:space="0" w:color="auto"/>
            <w:bottom w:val="none" w:sz="0" w:space="0" w:color="auto"/>
            <w:right w:val="none" w:sz="0" w:space="0" w:color="auto"/>
          </w:divBdr>
          <w:divsChild>
            <w:div w:id="8540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caldiabogota.gov.co/sisjur/normas/Norma1.jsp?i=4125" TargetMode="External"/><Relationship Id="rId4" Type="http://schemas.openxmlformats.org/officeDocument/2006/relationships/hyperlink" Target="http://www.alcaldiabogota.gov.co/sisjur/normas/Norma1.jsp?i=412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723</Words>
  <Characters>3982</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2010-07-13T15:12:00Z</dcterms:created>
  <dcterms:modified xsi:type="dcterms:W3CDTF">2010-07-13T15:14:00Z</dcterms:modified>
</cp:coreProperties>
</file>