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LEY 100 DE 1993</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(Diciembre 23)</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hyperlink r:id="rId5" w:anchor="1" w:history="1">
        <w:r w:rsidRPr="00186F49">
          <w:rPr>
            <w:rFonts w:ascii="Arial" w:eastAsia="Times New Roman" w:hAnsi="Arial" w:cs="Arial"/>
            <w:color w:val="0000FF"/>
            <w:kern w:val="0"/>
            <w:szCs w:val="24"/>
            <w:u w:val="single"/>
            <w:lang w:eastAsia="es-ES"/>
          </w:rPr>
          <w:t>Reglamentada Parcialmente por el Decreto Nacional 692 de 1994</w:t>
        </w:r>
      </w:hyperlink>
      <w:r w:rsidRPr="00186F49">
        <w:rPr>
          <w:rFonts w:ascii="Arial" w:eastAsia="Times New Roman" w:hAnsi="Arial" w:cs="Arial"/>
          <w:kern w:val="0"/>
          <w:szCs w:val="24"/>
          <w:lang w:eastAsia="es-ES"/>
        </w:rPr>
        <w:t xml:space="preserve"> , </w:t>
      </w:r>
      <w:hyperlink r:id="rId6" w:anchor="0" w:history="1">
        <w:r w:rsidRPr="00186F49">
          <w:rPr>
            <w:rFonts w:ascii="Arial" w:eastAsia="Times New Roman" w:hAnsi="Arial" w:cs="Arial"/>
            <w:color w:val="0000FF"/>
            <w:kern w:val="0"/>
            <w:szCs w:val="24"/>
            <w:u w:val="single"/>
            <w:lang w:eastAsia="es-ES"/>
          </w:rPr>
          <w:t>Reglamentada parcialmente por el Decreto Nacional 1889 de 1994</w:t>
        </w:r>
      </w:hyperlink>
      <w:r w:rsidRPr="00186F49">
        <w:rPr>
          <w:rFonts w:ascii="Arial" w:eastAsia="Times New Roman" w:hAnsi="Arial" w:cs="Arial"/>
          <w:kern w:val="0"/>
          <w:szCs w:val="24"/>
          <w:lang w:eastAsia="es-ES"/>
        </w:rPr>
        <w:t xml:space="preserve">,  </w:t>
      </w:r>
      <w:hyperlink r:id="rId7" w:anchor="0" w:history="1">
        <w:r w:rsidRPr="00186F49">
          <w:rPr>
            <w:rFonts w:ascii="Arial" w:eastAsia="Times New Roman" w:hAnsi="Arial" w:cs="Arial"/>
            <w:color w:val="0000FF"/>
            <w:kern w:val="0"/>
            <w:szCs w:val="24"/>
            <w:u w:val="single"/>
            <w:lang w:eastAsia="es-ES"/>
          </w:rPr>
          <w:t xml:space="preserve">Reglamentada parcialmente por el Decreto Nacional 1406 de 1999 </w:t>
        </w:r>
      </w:hyperlink>
      <w:r w:rsidRPr="00186F49">
        <w:rPr>
          <w:rFonts w:ascii="Arial" w:eastAsia="Times New Roman" w:hAnsi="Arial" w:cs="Arial"/>
          <w:kern w:val="0"/>
          <w:szCs w:val="24"/>
          <w:lang w:eastAsia="es-ES"/>
        </w:rPr>
        <w:t xml:space="preserve">, </w:t>
      </w:r>
      <w:hyperlink r:id="rId8" w:anchor="0" w:history="1">
        <w:r w:rsidRPr="00186F49">
          <w:rPr>
            <w:rFonts w:ascii="Arial" w:eastAsia="Times New Roman" w:hAnsi="Arial" w:cs="Arial"/>
            <w:color w:val="0000FF"/>
            <w:kern w:val="0"/>
            <w:szCs w:val="24"/>
            <w:u w:val="single"/>
            <w:lang w:eastAsia="es-ES"/>
          </w:rPr>
          <w:t xml:space="preserve">Reglamentada Parcialmente por el Decreto Nacional 1530 de 2003 </w:t>
        </w:r>
      </w:hyperlink>
      <w:r w:rsidRPr="00186F49">
        <w:rPr>
          <w:rFonts w:ascii="Arial" w:eastAsia="Times New Roman" w:hAnsi="Arial" w:cs="Arial"/>
          <w:kern w:val="0"/>
          <w:szCs w:val="24"/>
          <w:lang w:eastAsia="es-ES"/>
        </w:rPr>
        <w:t xml:space="preserve">, </w:t>
      </w:r>
      <w:hyperlink r:id="rId9" w:anchor="1" w:history="1">
        <w:r w:rsidRPr="00186F49">
          <w:rPr>
            <w:rFonts w:ascii="Arial" w:eastAsia="Times New Roman" w:hAnsi="Arial" w:cs="Arial"/>
            <w:color w:val="0000FF"/>
            <w:kern w:val="0"/>
            <w:szCs w:val="24"/>
            <w:u w:val="single"/>
            <w:lang w:eastAsia="es-ES"/>
          </w:rPr>
          <w:t>Reglamentada Parcialmente por el Decreto Nacional 2577 de 1999</w:t>
        </w:r>
      </w:hyperlink>
      <w:r w:rsidRPr="00186F49">
        <w:rPr>
          <w:rFonts w:ascii="Arial" w:eastAsia="Times New Roman" w:hAnsi="Arial" w:cs="Arial"/>
          <w:kern w:val="0"/>
          <w:szCs w:val="24"/>
          <w:lang w:eastAsia="es-ES"/>
        </w:rPr>
        <w:t xml:space="preserve"> , </w:t>
      </w:r>
      <w:hyperlink r:id="rId10" w:anchor="1" w:history="1">
        <w:r w:rsidRPr="00186F49">
          <w:rPr>
            <w:rFonts w:ascii="Arial" w:eastAsia="Times New Roman" w:hAnsi="Arial" w:cs="Arial"/>
            <w:color w:val="0000FF"/>
            <w:kern w:val="0"/>
            <w:szCs w:val="24"/>
            <w:u w:val="single"/>
            <w:lang w:eastAsia="es-ES"/>
          </w:rPr>
          <w:t>Reglamentada parcialmente por el Decreto Nacional 800 de 2003</w:t>
        </w:r>
      </w:hyperlink>
      <w:r w:rsidRPr="00186F49">
        <w:rPr>
          <w:rFonts w:ascii="Arial" w:eastAsia="Times New Roman" w:hAnsi="Arial" w:cs="Arial"/>
          <w:kern w:val="0"/>
          <w:szCs w:val="24"/>
          <w:lang w:eastAsia="es-ES"/>
        </w:rPr>
        <w:t xml:space="preserve">, </w:t>
      </w:r>
      <w:hyperlink r:id="rId11" w:anchor="0" w:history="1">
        <w:r w:rsidRPr="00186F49">
          <w:rPr>
            <w:rFonts w:ascii="Arial" w:eastAsia="Times New Roman" w:hAnsi="Arial" w:cs="Arial"/>
            <w:color w:val="0000FF"/>
            <w:kern w:val="0"/>
            <w:szCs w:val="24"/>
            <w:u w:val="single"/>
            <w:lang w:eastAsia="es-ES"/>
          </w:rPr>
          <w:t>Reglamentada Parcialmente por el Decreto Nacional 3667 de 2004</w:t>
        </w:r>
      </w:hyperlink>
      <w:r w:rsidRPr="00186F49">
        <w:rPr>
          <w:rFonts w:ascii="Arial" w:eastAsia="Times New Roman" w:hAnsi="Arial" w:cs="Arial"/>
          <w:kern w:val="0"/>
          <w:szCs w:val="24"/>
          <w:lang w:eastAsia="es-ES"/>
        </w:rPr>
        <w:t xml:space="preserve">, </w:t>
      </w:r>
      <w:hyperlink r:id="rId12" w:anchor="36" w:history="1">
        <w:r w:rsidRPr="00186F49">
          <w:rPr>
            <w:rFonts w:ascii="Arial" w:eastAsia="Times New Roman" w:hAnsi="Arial" w:cs="Arial"/>
            <w:color w:val="0000FF"/>
            <w:kern w:val="0"/>
            <w:szCs w:val="24"/>
            <w:u w:val="single"/>
            <w:lang w:eastAsia="es-ES"/>
          </w:rPr>
          <w:t>Modificada por el art. 36, Decreto Nacional 126 de 2010</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en lo relativo a las multas</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"Por la cual se crea el sistema de seguridad social integral y se dictan otras disposiciones".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El Congreso de la República de Colombia,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DECRETA: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Preámbulo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sistema de seguridad social integral es el conjunto de instituciones, normas y procedimientos, de que disponen la persona y la comunidad para gozar de una calidad de vida, mediante el cumplimiento progresivo de los planes y programas 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3" w:anchor="0" w:history="1">
        <w:r w:rsidRPr="00186F49">
          <w:rPr>
            <w:rFonts w:ascii="Arial" w:eastAsia="Times New Roman" w:hAnsi="Arial" w:cs="Arial"/>
            <w:color w:val="0000FF"/>
            <w:kern w:val="0"/>
            <w:szCs w:val="24"/>
            <w:u w:val="single"/>
            <w:lang w:eastAsia="es-ES"/>
          </w:rPr>
          <w:t>Ver el Código Sustantivo del Trabajo</w:t>
        </w:r>
      </w:hyperlink>
      <w:r w:rsidRPr="00186F49">
        <w:rPr>
          <w:rFonts w:ascii="Arial" w:eastAsia="Times New Roman" w:hAnsi="Arial" w:cs="Arial"/>
          <w:kern w:val="0"/>
          <w:szCs w:val="24"/>
          <w:lang w:eastAsia="es-ES"/>
        </w:rPr>
        <w:t xml:space="preserve"> , </w:t>
      </w:r>
      <w:hyperlink r:id="rId14" w:anchor="0" w:history="1">
        <w:r w:rsidRPr="00186F49">
          <w:rPr>
            <w:rFonts w:ascii="Arial" w:eastAsia="Times New Roman" w:hAnsi="Arial" w:cs="Arial"/>
            <w:color w:val="0000FF"/>
            <w:kern w:val="0"/>
            <w:szCs w:val="24"/>
            <w:u w:val="single"/>
            <w:lang w:eastAsia="es-ES"/>
          </w:rPr>
          <w:t>Ver la exposición de motivos, Ley 100 de 1993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PRELIMINAR</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Sistema de seguridad social integral</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Principios generales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ARTICULO.  1º</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Sistema de seguridad social integral</w:t>
      </w:r>
      <w:r w:rsidRPr="00186F49">
        <w:rPr>
          <w:rFonts w:ascii="Arial" w:eastAsia="Times New Roman" w:hAnsi="Arial" w:cs="Arial"/>
          <w:kern w:val="0"/>
          <w:szCs w:val="24"/>
          <w:lang w:eastAsia="es-ES"/>
        </w:rPr>
        <w:t>. El sistema de seguridad social integral tiene por objeto garantizar los derechos irrenunciables de la persona y la comunidad para obtener la calidad de vida acorde con la dignidad humana, mediante la protección de las contingencias que la afecten.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 ARTICULO. 2º- Principios</w:t>
      </w:r>
      <w:r w:rsidRPr="00186F49">
        <w:rPr>
          <w:rFonts w:ascii="Arial" w:eastAsia="Times New Roman" w:hAnsi="Arial" w:cs="Arial"/>
          <w:kern w:val="0"/>
          <w:szCs w:val="24"/>
          <w:lang w:eastAsia="es-ES"/>
        </w:rPr>
        <w:t>. El servicio público esencial de seguridad social se prestará con sujeción a los principios de eficiencia, universalidad, solidaridad, integralidad, unidad y participación: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Eficiencia. Es la mejor utilización social y económica de los recursos administrativos, técnicos y financieros disponibles para que los beneficios a que da derecho la seguridad social sean prestados en forma adecuada, oportuna y suficiente;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Universalidad. Es la garantía de la protección para todas las personas, sin ninguna discriminación, en todas las etapas de la vida;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Solidaridad. Es la práctica de la mutua ayuda entre las personas, las generaciones, los sectores económicos, las regiones y las comunidades bajo el principio del más fuerte hacia el más débil.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 deber del Estado garantizar la solidaridad en el sistema de seguridad social mediante su participación, control y dirección del mismo.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recursos provenientes del erario público en el sistema de seguridad se aplicarán siempre a los grupos de población más vulnerables;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Integralidad. Es la cobertura de todas las contingencias que afectan la salud, la capacidad económica y en general las condiciones de vida de toda la población. Para este efecto cada quien contribuirá según su capacidad y recibirá lo necesario para atender sus contingencias amparadas por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Unidad. Es la articulación de políticas, instituciones, regímenes, procedimientos y prestaciones para alcanzar los fines de la seguridad social,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f)  Participación. Es la intervención de la comunidad a través de los beneficiarios de la seguridad social en la organización, control, gestión y fiscalización de las instituciones y del sistema en su conjunto.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 seguridad social se desarrollará en forma progresiva, con el objeto de amparar a la población y la calidad de vida.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3º- Del derecho a la seguridad social</w:t>
      </w:r>
      <w:r w:rsidRPr="00186F49">
        <w:rPr>
          <w:rFonts w:ascii="Arial" w:eastAsia="Times New Roman" w:hAnsi="Arial" w:cs="Arial"/>
          <w:kern w:val="0"/>
          <w:szCs w:val="24"/>
          <w:lang w:eastAsia="es-ES"/>
        </w:rPr>
        <w:t>. El Estado garantiza a todos los habitantes del territorio nacional, el derecho irrenunciable a la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Este servicio será prestado por el sistema de seguridad social integral, en orden a la ampliación progresiva de la cobertura a todos los sectores de la población, en los términos establecidos por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4º- Del servicio público de seguridad social.</w:t>
      </w:r>
      <w:r w:rsidRPr="00186F49">
        <w:rPr>
          <w:rFonts w:ascii="Arial" w:eastAsia="Times New Roman" w:hAnsi="Arial" w:cs="Arial"/>
          <w:kern w:val="0"/>
          <w:szCs w:val="24"/>
          <w:lang w:eastAsia="es-ES"/>
        </w:rPr>
        <w:t xml:space="preserve"> La seguridad social es un servicio público obligatorio, cuya dirección, coordinación y control está a cargo del Estado y que será prestado por las entidades públicas o privadas en los términos y condiciones establecidos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Este servicio público es esencial en lo relacionado con el sistema general de seguridad social en salud. Con respecto al sistema general de pensiones es esencial sólo en aquellas actividades directamente vinculadas con el reconocimiento y pago de las pensiones.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Sistema de seguridad social integral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5º</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Creación</w:t>
      </w:r>
      <w:r w:rsidRPr="00186F49">
        <w:rPr>
          <w:rFonts w:ascii="Arial" w:eastAsia="Times New Roman" w:hAnsi="Arial" w:cs="Arial"/>
          <w:kern w:val="0"/>
          <w:szCs w:val="24"/>
          <w:lang w:eastAsia="es-ES"/>
        </w:rPr>
        <w:t xml:space="preserve">. En desarrollo del artículo 48 de la Constitución Política, </w:t>
      </w:r>
      <w:proofErr w:type="spellStart"/>
      <w:r w:rsidRPr="00186F49">
        <w:rPr>
          <w:rFonts w:ascii="Arial" w:eastAsia="Times New Roman" w:hAnsi="Arial" w:cs="Arial"/>
          <w:kern w:val="0"/>
          <w:szCs w:val="24"/>
          <w:lang w:eastAsia="es-ES"/>
        </w:rPr>
        <w:t>organízase</w:t>
      </w:r>
      <w:proofErr w:type="spellEnd"/>
      <w:r w:rsidRPr="00186F49">
        <w:rPr>
          <w:rFonts w:ascii="Arial" w:eastAsia="Times New Roman" w:hAnsi="Arial" w:cs="Arial"/>
          <w:kern w:val="0"/>
          <w:szCs w:val="24"/>
          <w:lang w:eastAsia="es-ES"/>
        </w:rPr>
        <w:t xml:space="preserve"> el sistema de seguridad social integral cuya dirección, coordinación y control estará a cargo del Estado, en los términos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6º- Objetivos</w:t>
      </w:r>
      <w:r w:rsidRPr="00186F49">
        <w:rPr>
          <w:rFonts w:ascii="Arial" w:eastAsia="Times New Roman" w:hAnsi="Arial" w:cs="Arial"/>
          <w:kern w:val="0"/>
          <w:szCs w:val="24"/>
          <w:lang w:eastAsia="es-ES"/>
        </w:rPr>
        <w:t>. El sistema de seguridad social integral ordenará las instituciones y los recursos necesarios para alcanzar los siguientes objetivos: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Garantizar las prestaciones económicas y de salud a quienes tienen una relación laboral o capacidad económica suficiente para afiliarse al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Garantizar la prestación de los servicios sociales complementarios en los términos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Garantizar la ampliación de cobertura hasta lograr que toda la población acceda al sistema, mediante mecanismos que en desarrollo del principio constitucional de solidaridad, permitan que sectores sin la capacidad económica suficiente como campesinos, indígenas y trabajadores independientes, artistas, deportistas, madres comunitarias, accedan al sistema y al otorgamiento de las prestaciones en forma integral.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sistema de seguridad social integral está instituido para unificar la normatividad y la planeación de la seguridad social, así como para coordinar a las entidades prestatarias de las mismas, para obtener las finalidades propuestas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7º- Ámbito de acción</w:t>
      </w:r>
      <w:r w:rsidRPr="00186F49">
        <w:rPr>
          <w:rFonts w:ascii="Arial" w:eastAsia="Times New Roman" w:hAnsi="Arial" w:cs="Arial"/>
          <w:kern w:val="0"/>
          <w:szCs w:val="24"/>
          <w:lang w:eastAsia="es-ES"/>
        </w:rPr>
        <w:t xml:space="preserve">. El sistema de seguridad social integral garantiza el cubrimiento de las contingencias económicas y de salud, y la prestación de servicios sociales complementarios, en los términos y bajo las modalidades </w:t>
      </w:r>
      <w:proofErr w:type="gramStart"/>
      <w:r w:rsidRPr="00186F49">
        <w:rPr>
          <w:rFonts w:ascii="Arial" w:eastAsia="Times New Roman" w:hAnsi="Arial" w:cs="Arial"/>
          <w:kern w:val="0"/>
          <w:szCs w:val="24"/>
          <w:lang w:eastAsia="es-ES"/>
        </w:rPr>
        <w:t>previstos</w:t>
      </w:r>
      <w:proofErr w:type="gramEnd"/>
      <w:r w:rsidRPr="00186F49">
        <w:rPr>
          <w:rFonts w:ascii="Arial" w:eastAsia="Times New Roman" w:hAnsi="Arial" w:cs="Arial"/>
          <w:kern w:val="0"/>
          <w:szCs w:val="24"/>
          <w:lang w:eastAsia="es-ES"/>
        </w:rPr>
        <w:t xml:space="preserve"> por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8º- Conformación del sistema de seguridad social integral</w:t>
      </w:r>
      <w:r w:rsidRPr="00186F49">
        <w:rPr>
          <w:rFonts w:ascii="Arial" w:eastAsia="Times New Roman" w:hAnsi="Arial" w:cs="Arial"/>
          <w:kern w:val="0"/>
          <w:szCs w:val="24"/>
          <w:lang w:eastAsia="es-ES"/>
        </w:rPr>
        <w:t>. El sistema de seguridad social integral es el conjunto armónico de entidades públicas y privadas, normas y procedimientos y está conformado por los regímenes generales establecidos para pensiones, salud, riesgos profesionales y los servicios sociales complementarios que se definen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9º- Destinación de los recursos</w:t>
      </w:r>
      <w:r w:rsidRPr="00186F49">
        <w:rPr>
          <w:rFonts w:ascii="Arial" w:eastAsia="Times New Roman" w:hAnsi="Arial" w:cs="Arial"/>
          <w:kern w:val="0"/>
          <w:szCs w:val="24"/>
          <w:lang w:eastAsia="es-ES"/>
        </w:rPr>
        <w:t>. No se podrán destinar ni utilizar los recursos de las instituciones de la seguridad social para fines diferentes a ella.</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LIBRO PRIMERO</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t>Sistema general de pensiones</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t>TÍTULO I</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t>Disposiciones generales</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kern w:val="0"/>
          <w:szCs w:val="24"/>
          <w:lang w:eastAsia="es-ES"/>
        </w:rPr>
      </w:pPr>
      <w:r w:rsidRPr="00186F49">
        <w:rPr>
          <w:rFonts w:ascii="Arial" w:eastAsia="Times New Roman" w:hAnsi="Arial" w:cs="Arial"/>
          <w:b/>
          <w:bCs/>
          <w:kern w:val="0"/>
          <w:szCs w:val="24"/>
          <w:lang w:eastAsia="es-ES"/>
        </w:rPr>
        <w:t>Objeto y características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5" w:anchor="0" w:history="1">
        <w:r w:rsidRPr="00186F49">
          <w:rPr>
            <w:rFonts w:ascii="Arial" w:eastAsia="Times New Roman" w:hAnsi="Arial" w:cs="Arial"/>
            <w:color w:val="0000FF"/>
            <w:kern w:val="0"/>
            <w:szCs w:val="24"/>
            <w:u w:val="single"/>
            <w:lang w:eastAsia="es-ES"/>
          </w:rPr>
          <w:t>Ver la Ley 1328 de 2009</w:t>
        </w:r>
      </w:hyperlink>
      <w:r w:rsidRPr="00186F49">
        <w:rPr>
          <w:rFonts w:ascii="Arial" w:eastAsia="Times New Roman" w:hAnsi="Arial" w:cs="Arial"/>
          <w:b/>
          <w:bCs/>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 Objeto del sistema general de pensiones</w:t>
      </w:r>
      <w:r w:rsidRPr="00186F49">
        <w:rPr>
          <w:rFonts w:ascii="Arial" w:eastAsia="Times New Roman" w:hAnsi="Arial" w:cs="Arial"/>
          <w:kern w:val="0"/>
          <w:szCs w:val="24"/>
          <w:lang w:eastAsia="es-ES"/>
        </w:rPr>
        <w:t>. El sistema general de pensiones tiene por objeto garantizar a la población, el amparo contra las contingencias derivadas de la vejez, la invalidez y la muerte, mediante el reconocimiento de las pensiones y prestaciones que se determinan en la presente ley, así como propender por la ampliación progresiva de cobertura a los segmentos de población no cubiertos con un sistema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ARTICULO. </w:t>
      </w:r>
      <w:bookmarkStart w:id="0" w:name="BM11"/>
      <w:r w:rsidRPr="00186F49">
        <w:rPr>
          <w:rFonts w:ascii="Arial" w:eastAsia="Times New Roman" w:hAnsi="Arial" w:cs="Arial"/>
          <w:b/>
          <w:bCs/>
          <w:kern w:val="0"/>
          <w:szCs w:val="24"/>
          <w:lang w:eastAsia="es-ES"/>
        </w:rPr>
        <w:t> </w:t>
      </w:r>
      <w:bookmarkEnd w:id="0"/>
      <w:r w:rsidRPr="00186F49">
        <w:rPr>
          <w:rFonts w:ascii="Arial" w:eastAsia="Times New Roman" w:hAnsi="Arial" w:cs="Arial"/>
          <w:b/>
          <w:bCs/>
          <w:kern w:val="0"/>
          <w:szCs w:val="24"/>
          <w:lang w:eastAsia="es-ES"/>
        </w:rPr>
        <w:t xml:space="preserve">11.- </w:t>
      </w:r>
      <w:hyperlink r:id="rId16" w:anchor="1" w:history="1">
        <w:r w:rsidRPr="00186F49">
          <w:rPr>
            <w:rFonts w:ascii="Arial" w:eastAsia="Times New Roman" w:hAnsi="Arial" w:cs="Arial"/>
            <w:color w:val="0000FF"/>
            <w:kern w:val="0"/>
            <w:szCs w:val="24"/>
            <w:u w:val="single"/>
            <w:lang w:eastAsia="es-ES"/>
          </w:rPr>
          <w:t>Modificado por el art. 1, Ley 797 de 2003</w:t>
        </w:r>
      </w:hyperlink>
      <w:r w:rsidRPr="00186F49">
        <w:rPr>
          <w:rFonts w:ascii="Arial" w:eastAsia="Times New Roman" w:hAnsi="Arial" w:cs="Arial"/>
          <w:b/>
          <w:bCs/>
          <w:kern w:val="0"/>
          <w:szCs w:val="24"/>
          <w:lang w:eastAsia="es-ES"/>
        </w:rPr>
        <w:t xml:space="preserve"> Campo de aplicación</w:t>
      </w:r>
      <w:r w:rsidRPr="00186F49">
        <w:rPr>
          <w:rFonts w:ascii="Arial" w:eastAsia="Times New Roman" w:hAnsi="Arial" w:cs="Arial"/>
          <w:kern w:val="0"/>
          <w:szCs w:val="24"/>
          <w:lang w:eastAsia="es-ES"/>
        </w:rPr>
        <w:t>. El sistema general de pensiones, con las excepciones previstas en el artículo 279 de la presente ley, se aplicará a todos los habitantes del territorio nacional, conservando adicionalmente todos los derechos, garantías, prerrogativas, servicios y beneficios adquiridos y establecidos conforme a disposiciones normativas anteriores para quienes a la fecha de vigencia de esta ley hayan cumplido los requisitos para acceder a una pensión o se encuentren pensionados por jubilación, vejez, invalidez, sustitución o sobrevivientes de los sectores público, oficial, semioficial, en todos sus órdenes, del Instituto de Seguros Sociales y del sector privado en general.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efectos de este artículo se respetarán y por tanto mantendrán su vigencia los derechos adquiridos conforme a disposiciones normativas anteriores, pacto o convención colectiva de trabajo.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 anterior será sin perjuicio del derecho de denuncia que le asiste a las partes y que el tribunal de arbitramento dirima las diferencias entre las partes.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 w:name="BM12"/>
      <w:r w:rsidRPr="00186F49">
        <w:rPr>
          <w:rFonts w:ascii="Arial" w:eastAsia="Times New Roman" w:hAnsi="Arial" w:cs="Arial"/>
          <w:b/>
          <w:bCs/>
          <w:kern w:val="0"/>
          <w:szCs w:val="24"/>
          <w:lang w:eastAsia="es-ES"/>
        </w:rPr>
        <w:t> </w:t>
      </w:r>
      <w:bookmarkEnd w:id="1"/>
      <w:r w:rsidRPr="00186F49">
        <w:rPr>
          <w:rFonts w:ascii="Arial" w:eastAsia="Times New Roman" w:hAnsi="Arial" w:cs="Arial"/>
          <w:b/>
          <w:bCs/>
          <w:kern w:val="0"/>
          <w:szCs w:val="24"/>
          <w:lang w:eastAsia="es-ES"/>
        </w:rPr>
        <w:t>12.- Regímenes del sistema general de pensiones</w:t>
      </w:r>
      <w:r w:rsidRPr="00186F49">
        <w:rPr>
          <w:rFonts w:ascii="Arial" w:eastAsia="Times New Roman" w:hAnsi="Arial" w:cs="Arial"/>
          <w:kern w:val="0"/>
          <w:szCs w:val="24"/>
          <w:lang w:eastAsia="es-ES"/>
        </w:rPr>
        <w:t>.  </w:t>
      </w:r>
      <w:hyperlink r:id="rId17" w:anchor="0" w:history="1">
        <w:r w:rsidRPr="00186F49">
          <w:rPr>
            <w:rFonts w:ascii="Arial" w:eastAsia="Times New Roman" w:hAnsi="Arial" w:cs="Arial"/>
            <w:color w:val="0000FF"/>
            <w:kern w:val="0"/>
            <w:szCs w:val="24"/>
            <w:u w:val="single"/>
            <w:lang w:eastAsia="es-ES"/>
          </w:rPr>
          <w:t>Reglamentado por el Decreto Nacional 3995 de 2008</w:t>
        </w:r>
      </w:hyperlink>
      <w:r w:rsidRPr="00186F49">
        <w:rPr>
          <w:rFonts w:ascii="Arial" w:eastAsia="Times New Roman" w:hAnsi="Arial" w:cs="Arial"/>
          <w:kern w:val="0"/>
          <w:szCs w:val="24"/>
          <w:lang w:eastAsia="es-ES"/>
        </w:rPr>
        <w:t>. El sistema general de pensiones está compuesto por dos regímenes solidarios excluyentes pero que coexisten, a saber: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Régimen solidario de prima media con prestación definida,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2" w:name="BM1"/>
      <w:bookmarkEnd w:id="2"/>
      <w:r w:rsidRPr="00186F49">
        <w:rPr>
          <w:rFonts w:ascii="Arial" w:eastAsia="Times New Roman" w:hAnsi="Arial" w:cs="Arial"/>
          <w:b/>
          <w:bCs/>
          <w:kern w:val="0"/>
          <w:szCs w:val="24"/>
          <w:lang w:eastAsia="es-ES"/>
        </w:rPr>
        <w:lastRenderedPageBreak/>
        <w:t>ARTICULO. </w:t>
      </w:r>
      <w:bookmarkStart w:id="3" w:name="BM13"/>
      <w:r w:rsidRPr="00186F49">
        <w:rPr>
          <w:rFonts w:ascii="Arial" w:eastAsia="Times New Roman" w:hAnsi="Arial" w:cs="Arial"/>
          <w:b/>
          <w:bCs/>
          <w:kern w:val="0"/>
          <w:szCs w:val="24"/>
          <w:lang w:eastAsia="es-ES"/>
        </w:rPr>
        <w:t> </w:t>
      </w:r>
      <w:bookmarkEnd w:id="3"/>
      <w:r w:rsidRPr="00186F49">
        <w:rPr>
          <w:rFonts w:ascii="Arial" w:eastAsia="Times New Roman" w:hAnsi="Arial" w:cs="Arial"/>
          <w:b/>
          <w:bCs/>
          <w:kern w:val="0"/>
          <w:szCs w:val="24"/>
          <w:lang w:eastAsia="es-ES"/>
        </w:rPr>
        <w:t>13.- Características del sistema general de pensiones</w:t>
      </w:r>
      <w:r w:rsidRPr="00186F49">
        <w:rPr>
          <w:rFonts w:ascii="Arial" w:eastAsia="Times New Roman" w:hAnsi="Arial" w:cs="Arial"/>
          <w:kern w:val="0"/>
          <w:szCs w:val="24"/>
          <w:lang w:eastAsia="es-ES"/>
        </w:rPr>
        <w:t>.  </w:t>
      </w:r>
      <w:hyperlink r:id="rId18" w:anchor="0" w:history="1">
        <w:r w:rsidRPr="00186F49">
          <w:rPr>
            <w:rFonts w:ascii="Arial" w:eastAsia="Times New Roman" w:hAnsi="Arial" w:cs="Arial"/>
            <w:color w:val="0000FF"/>
            <w:kern w:val="0"/>
            <w:szCs w:val="24"/>
            <w:u w:val="single"/>
            <w:lang w:eastAsia="es-ES"/>
          </w:rPr>
          <w:t>Reglamentado por el Decreto Nacional 3995 de 2008</w:t>
        </w:r>
      </w:hyperlink>
      <w:r w:rsidRPr="00186F49">
        <w:rPr>
          <w:rFonts w:ascii="Arial" w:eastAsia="Times New Roman" w:hAnsi="Arial" w:cs="Arial"/>
          <w:kern w:val="0"/>
          <w:szCs w:val="24"/>
          <w:lang w:eastAsia="es-ES"/>
        </w:rPr>
        <w:t>. El sistema general de pensiones tendrá las siguientes características: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w:t>
      </w:r>
      <w:hyperlink r:id="rId19" w:anchor="2" w:history="1">
        <w:r w:rsidRPr="00186F49">
          <w:rPr>
            <w:rFonts w:ascii="Arial" w:eastAsia="Times New Roman" w:hAnsi="Arial" w:cs="Arial"/>
            <w:color w:val="0000FF"/>
            <w:kern w:val="0"/>
            <w:szCs w:val="24"/>
            <w:u w:val="single"/>
            <w:lang w:eastAsia="es-ES"/>
          </w:rPr>
          <w:t>Modificado por el art. 2,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La afiliación es obligatoria salvo lo previsto para los trabajadores independientes;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La selección de uno cualquiera de los regímenes previstos por el artículo anterior es libre y voluntaria por parte del afiliado, quien para tal efecto manifestará por escrito su elección al momento de la vinculación o del traslado. El empleador o cualquier persona natural o jurídica que desconozca este derecho en cualquier forma, se hará acreedor a las sanciones de que trata el inciso 1º del artículo 271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Los afiliados tendrán derecho al reconocimiento y pago de las prestaciones y de las pensiones de invalidez, de vejez y de sobrevivientes, conforme a lo dispuesto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La afiliación implica la obligación de efectuar los aportes que se establecen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w:t>
      </w:r>
      <w:hyperlink r:id="rId20" w:anchor="2" w:history="1">
        <w:r w:rsidRPr="00186F49">
          <w:rPr>
            <w:rFonts w:ascii="Arial" w:eastAsia="Times New Roman" w:hAnsi="Arial" w:cs="Arial"/>
            <w:color w:val="0000FF"/>
            <w:kern w:val="0"/>
            <w:szCs w:val="24"/>
            <w:u w:val="single"/>
            <w:lang w:eastAsia="es-ES"/>
          </w:rPr>
          <w:t>Modificado por el art. 2,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Los afiliados al sistema general de pensiones podrán escoger el régimen de pensiones que prefieran. Una vez efectuada la selección inicial, éstos sólo podrán trasladarse de régimen por una sola vez cada tres (3) años, contados a partir de la selección inicial, en la forma que señale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f)  Para el reconocimiento de las pensiones y prestaciones contempladas en los dos regímenes, se tendrán en cuenta la suma de las semanas cotizadas con anterioridad a la vigencia de la presente ley, al Instituto de Seguros Sociales o a cualquier caja, fondo o entidad del sector público o privado, o el tiempo de servicio como servidores públicos, cualquiera sea el número de semanas cotizadas o el tiempo de servicio;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g)  Para el reconocimiento de las pensiones y prestaciones contempladas en los dos regímenes se tendrá en cuenta la suma de las semanas cotizadas a </w:t>
      </w:r>
      <w:proofErr w:type="gramStart"/>
      <w:r w:rsidRPr="00186F49">
        <w:rPr>
          <w:rFonts w:ascii="Arial" w:eastAsia="Times New Roman" w:hAnsi="Arial" w:cs="Arial"/>
          <w:kern w:val="0"/>
          <w:szCs w:val="24"/>
          <w:lang w:eastAsia="es-ES"/>
        </w:rPr>
        <w:t>cualesquiera</w:t>
      </w:r>
      <w:proofErr w:type="gramEnd"/>
      <w:r w:rsidRPr="00186F49">
        <w:rPr>
          <w:rFonts w:ascii="Arial" w:eastAsia="Times New Roman" w:hAnsi="Arial" w:cs="Arial"/>
          <w:kern w:val="0"/>
          <w:szCs w:val="24"/>
          <w:lang w:eastAsia="es-ES"/>
        </w:rPr>
        <w:t xml:space="preserve"> de ellos;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h)  En desarrollo del principio de solidaridad, los dos regímenes previstos por el artículo 12 de la presente ley garantizan a sus afiliados el reconocimiento y pago de una pensión mínima en los términos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i)  </w:t>
      </w:r>
      <w:hyperlink r:id="rId21" w:anchor="2" w:history="1">
        <w:r w:rsidRPr="00186F49">
          <w:rPr>
            <w:rFonts w:ascii="Arial" w:eastAsia="Times New Roman" w:hAnsi="Arial" w:cs="Arial"/>
            <w:color w:val="0000FF"/>
            <w:kern w:val="0"/>
            <w:szCs w:val="24"/>
            <w:u w:val="single"/>
            <w:lang w:eastAsia="es-ES"/>
          </w:rPr>
          <w:t>Modificado por el art. 2,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 xml:space="preserve">Existirá  un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destinado a ampliar la cobertura mediante el subsidio a los grupos de población que, por sus características y condiciones socioeconómicas, no tienen acceso a los sistemas de seguridad social, tales como campesinos, indígenas, trabajadores independientes, artistas, deportistas y madres comunitarias; </w:t>
      </w:r>
      <w:hyperlink r:id="rId22" w:anchor="0" w:history="1">
        <w:r w:rsidRPr="00186F49">
          <w:rPr>
            <w:rFonts w:ascii="Arial" w:eastAsia="Times New Roman" w:hAnsi="Arial" w:cs="Arial"/>
            <w:color w:val="0000FF"/>
            <w:kern w:val="0"/>
            <w:szCs w:val="24"/>
            <w:u w:val="single"/>
            <w:lang w:eastAsia="es-ES"/>
          </w:rPr>
          <w:t>Ver el Decreto Nacional 1127 de 1994</w:t>
        </w:r>
      </w:hyperlink>
      <w:r w:rsidRPr="00186F49">
        <w:rPr>
          <w:rFonts w:ascii="Arial" w:eastAsia="Times New Roman" w:hAnsi="Arial" w:cs="Arial"/>
          <w:kern w:val="0"/>
          <w:szCs w:val="24"/>
          <w:lang w:eastAsia="es-ES"/>
        </w:rPr>
        <w:t xml:space="preserve">, </w:t>
      </w:r>
      <w:hyperlink r:id="rId23" w:anchor="19" w:history="1">
        <w:r w:rsidRPr="00186F49">
          <w:rPr>
            <w:rFonts w:ascii="Arial" w:eastAsia="Times New Roman" w:hAnsi="Arial" w:cs="Arial"/>
            <w:color w:val="0000FF"/>
            <w:kern w:val="0"/>
            <w:szCs w:val="24"/>
            <w:u w:val="single"/>
            <w:lang w:eastAsia="es-ES"/>
          </w:rPr>
          <w:t>Ver el art. 19, Ley 1151 de 2007</w:t>
        </w:r>
      </w:hyperlink>
      <w:r w:rsidRPr="00186F49">
        <w:rPr>
          <w:rFonts w:ascii="Arial" w:eastAsia="Times New Roman" w:hAnsi="Arial" w:cs="Arial"/>
          <w:kern w:val="0"/>
          <w:szCs w:val="24"/>
          <w:lang w:eastAsia="es-ES"/>
        </w:rPr>
        <w:t xml:space="preserve"> , </w:t>
      </w:r>
      <w:hyperlink r:id="rId24" w:anchor="0" w:history="1">
        <w:r w:rsidRPr="00186F49">
          <w:rPr>
            <w:rFonts w:ascii="Arial" w:eastAsia="Times New Roman" w:hAnsi="Arial" w:cs="Arial"/>
            <w:color w:val="0000FF"/>
            <w:kern w:val="0"/>
            <w:szCs w:val="24"/>
            <w:u w:val="single"/>
            <w:lang w:eastAsia="es-ES"/>
          </w:rPr>
          <w:t>Ver el Decreto Nacional 1355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j)  Ningún afiliado podrá recibir simultáneamente pensiones de invalidez y de vejez,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k) Las entidades administradoras de cada uno de los regímenes del sistema general de pensiones estarán sujetas al control y vigilancia de la Superintendencia </w:t>
      </w:r>
      <w:bookmarkStart w:id="4" w:name="BM13_i"/>
      <w:r w:rsidRPr="00186F49">
        <w:rPr>
          <w:rFonts w:ascii="Arial" w:eastAsia="Times New Roman" w:hAnsi="Arial" w:cs="Arial"/>
          <w:kern w:val="0"/>
          <w:szCs w:val="24"/>
          <w:lang w:eastAsia="es-ES"/>
        </w:rPr>
        <w:t> </w:t>
      </w:r>
      <w:bookmarkEnd w:id="4"/>
      <w:r w:rsidRPr="00186F49">
        <w:rPr>
          <w:rFonts w:ascii="Arial" w:eastAsia="Times New Roman" w:hAnsi="Arial" w:cs="Arial"/>
          <w:kern w:val="0"/>
          <w:szCs w:val="24"/>
          <w:lang w:eastAsia="es-ES"/>
        </w:rPr>
        <w:t xml:space="preserve">Bancaria.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 </w:t>
      </w:r>
      <w:hyperlink r:id="rId25" w:anchor="2" w:history="1">
        <w:r w:rsidRPr="00186F49">
          <w:rPr>
            <w:rFonts w:ascii="Arial" w:eastAsia="Times New Roman" w:hAnsi="Arial" w:cs="Arial"/>
            <w:color w:val="0000FF"/>
            <w:kern w:val="0"/>
            <w:szCs w:val="24"/>
            <w:u w:val="single"/>
            <w:lang w:eastAsia="es-ES"/>
          </w:rPr>
          <w:t>Adicionado por el art. 2, Ley 797 de 2003</w:t>
        </w:r>
      </w:hyperlink>
      <w:r w:rsidRPr="00186F49">
        <w:rPr>
          <w:rFonts w:ascii="Arial" w:eastAsia="Times New Roman" w:hAnsi="Arial" w:cs="Arial"/>
          <w:kern w:val="0"/>
          <w:szCs w:val="24"/>
          <w:lang w:eastAsia="es-ES"/>
        </w:rPr>
        <w:t xml:space="preserve">, </w:t>
      </w:r>
      <w:hyperlink r:id="rId26" w:anchor="0" w:history="1">
        <w:r w:rsidRPr="00186F49">
          <w:rPr>
            <w:rFonts w:ascii="Arial" w:eastAsia="Times New Roman" w:hAnsi="Arial" w:cs="Arial"/>
            <w:color w:val="0000FF"/>
            <w:kern w:val="0"/>
            <w:szCs w:val="24"/>
            <w:u w:val="single"/>
            <w:lang w:eastAsia="es-ES"/>
          </w:rPr>
          <w:t>Ver el Decreto Nacional 2681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m)</w:t>
      </w:r>
      <w:hyperlink r:id="rId27" w:anchor="2" w:history="1">
        <w:r w:rsidRPr="00186F49">
          <w:rPr>
            <w:rFonts w:ascii="Arial" w:eastAsia="Times New Roman" w:hAnsi="Arial" w:cs="Arial"/>
            <w:color w:val="0000FF"/>
            <w:kern w:val="0"/>
            <w:szCs w:val="24"/>
            <w:u w:val="single"/>
            <w:lang w:eastAsia="es-ES"/>
          </w:rPr>
          <w:t>Adicionado por el art. 2, Ley 797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n) </w:t>
      </w:r>
      <w:hyperlink r:id="rId28" w:anchor="2" w:history="1">
        <w:r w:rsidRPr="00186F49">
          <w:rPr>
            <w:rFonts w:ascii="Arial" w:eastAsia="Times New Roman" w:hAnsi="Arial" w:cs="Arial"/>
            <w:color w:val="0000FF"/>
            <w:kern w:val="0"/>
            <w:szCs w:val="24"/>
            <w:u w:val="single"/>
            <w:lang w:eastAsia="es-ES"/>
          </w:rPr>
          <w:t>Adicionado por el art. 2, Ley 797 de 2003</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o) </w:t>
      </w:r>
      <w:hyperlink r:id="rId29" w:anchor="2" w:history="1">
        <w:r w:rsidRPr="00186F49">
          <w:rPr>
            <w:rFonts w:ascii="Arial" w:eastAsia="Times New Roman" w:hAnsi="Arial" w:cs="Arial"/>
            <w:color w:val="0000FF"/>
            <w:kern w:val="0"/>
            <w:szCs w:val="24"/>
            <w:u w:val="single"/>
            <w:lang w:eastAsia="es-ES"/>
          </w:rPr>
          <w:t>Adicionado por el art. 2, Ley 797 de 2003</w:t>
        </w:r>
      </w:hyperlink>
      <w:hyperlink r:id="rId30" w:anchor="2" w:history="1">
        <w:r w:rsidRPr="00186F49">
          <w:rPr>
            <w:rFonts w:ascii="Arial" w:eastAsia="Times New Roman" w:hAnsi="Arial" w:cs="Arial"/>
            <w:color w:val="0000FF"/>
            <w:kern w:val="0"/>
            <w:szCs w:val="24"/>
            <w:u w:val="single"/>
            <w:lang w:eastAsia="es-ES"/>
          </w:rPr>
          <w:t xml:space="preserve">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w:t>
      </w:r>
      <w:hyperlink r:id="rId31" w:anchor="2" w:history="1">
        <w:r w:rsidRPr="00186F49">
          <w:rPr>
            <w:rFonts w:ascii="Arial" w:eastAsia="Times New Roman" w:hAnsi="Arial" w:cs="Arial"/>
            <w:color w:val="0000FF"/>
            <w:kern w:val="0"/>
            <w:szCs w:val="24"/>
            <w:u w:val="single"/>
            <w:lang w:eastAsia="es-ES"/>
          </w:rPr>
          <w:t>Adicionado por el art. 2, Ley 797 de 2003</w:t>
        </w:r>
      </w:hyperlink>
      <w:hyperlink r:id="rId32" w:anchor="2" w:history="1">
        <w:r w:rsidRPr="00186F49">
          <w:rPr>
            <w:rFonts w:ascii="Arial" w:eastAsia="Times New Roman" w:hAnsi="Arial" w:cs="Arial"/>
            <w:color w:val="0000FF"/>
            <w:kern w:val="0"/>
            <w:szCs w:val="24"/>
            <w:u w:val="single"/>
            <w:lang w:eastAsia="es-ES"/>
          </w:rPr>
          <w:t xml:space="preserve">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q) </w:t>
      </w:r>
      <w:hyperlink r:id="rId33" w:anchor="2" w:history="1">
        <w:r w:rsidRPr="00186F49">
          <w:rPr>
            <w:rFonts w:ascii="Arial" w:eastAsia="Times New Roman" w:hAnsi="Arial" w:cs="Arial"/>
            <w:color w:val="0000FF"/>
            <w:kern w:val="0"/>
            <w:szCs w:val="24"/>
            <w:u w:val="single"/>
            <w:lang w:eastAsia="es-ES"/>
          </w:rPr>
          <w:t>Adicionado por el art. 2, Ley 797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 w:name="14"/>
      <w:r w:rsidRPr="00186F49">
        <w:rPr>
          <w:rFonts w:ascii="Arial" w:eastAsia="Times New Roman" w:hAnsi="Arial" w:cs="Arial"/>
          <w:b/>
          <w:bCs/>
          <w:kern w:val="0"/>
          <w:szCs w:val="24"/>
          <w:lang w:eastAsia="es-ES"/>
        </w:rPr>
        <w:t> </w:t>
      </w:r>
      <w:bookmarkEnd w:id="5"/>
      <w:r w:rsidRPr="00186F49">
        <w:rPr>
          <w:rFonts w:ascii="Arial" w:eastAsia="Times New Roman" w:hAnsi="Arial" w:cs="Arial"/>
          <w:b/>
          <w:bCs/>
          <w:kern w:val="0"/>
          <w:szCs w:val="24"/>
          <w:lang w:eastAsia="es-ES"/>
        </w:rPr>
        <w:t>14.- Reajuste de pensiones</w:t>
      </w:r>
      <w:r w:rsidRPr="00186F49">
        <w:rPr>
          <w:rFonts w:ascii="Arial" w:eastAsia="Times New Roman" w:hAnsi="Arial" w:cs="Arial"/>
          <w:kern w:val="0"/>
          <w:szCs w:val="24"/>
          <w:lang w:eastAsia="es-ES"/>
        </w:rPr>
        <w:t>.  Con el objeto de que las pensiones de vejez o de jubilación, de invalidez y de sustitución o sobreviviente, en cualquiera de los dos regímenes del sistema general de pensiones, mantengan su poder adquisitivo constante, se reajustarán anualmente de oficio, el primero de enero de cada año, según la variación porcentual del índice de precios al consumidor, certificado por el DANE para el año inmediatamente anterior. No obstante, las pensiones cuyo monto mensual sea igual al salario mínimo legal mensual vigente, serán reajustadas de oficio cada vez y con el mismo porcentaje en que se incremente dicho salario por el gobierno. </w:t>
      </w:r>
      <w:hyperlink r:id="rId34" w:anchor="0" w:history="1">
        <w:r w:rsidRPr="00186F49">
          <w:rPr>
            <w:rFonts w:ascii="Arial" w:eastAsia="Times New Roman" w:hAnsi="Arial" w:cs="Arial"/>
            <w:color w:val="0000FF"/>
            <w:kern w:val="0"/>
            <w:szCs w:val="24"/>
            <w:u w:val="single"/>
            <w:lang w:eastAsia="es-ES"/>
          </w:rPr>
          <w:t>Ver la Sentencia de la Corte Constitucional T-1052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after="0"/>
        <w:jc w:val="left"/>
        <w:rPr>
          <w:rFonts w:ascii="Arial" w:eastAsia="Times New Roman" w:hAnsi="Arial" w:cs="Arial"/>
          <w:b/>
          <w:bCs/>
          <w:kern w:val="0"/>
          <w:szCs w:val="24"/>
          <w:lang w:eastAsia="es-ES"/>
        </w:rPr>
      </w:pPr>
      <w:proofErr w:type="gramStart"/>
      <w:r w:rsidRPr="00186F49">
        <w:rPr>
          <w:rFonts w:ascii="Arial" w:eastAsia="Times New Roman" w:hAnsi="Arial" w:cs="Arial"/>
          <w:b/>
          <w:bCs/>
          <w:kern w:val="0"/>
          <w:szCs w:val="24"/>
          <w:lang w:eastAsia="es-ES"/>
        </w:rPr>
        <w:t>PARAGRAFO .</w:t>
      </w:r>
      <w:proofErr w:type="gramEnd"/>
      <w:r w:rsidRPr="00186F49">
        <w:rPr>
          <w:rFonts w:ascii="Arial" w:eastAsia="Times New Roman" w:hAnsi="Arial" w:cs="Arial"/>
          <w:b/>
          <w:bCs/>
          <w:kern w:val="0"/>
          <w:szCs w:val="24"/>
          <w:lang w:eastAsia="es-ES"/>
        </w:rPr>
        <w:t xml:space="preserve">- </w:t>
      </w:r>
      <w:hyperlink r:id="rId35" w:anchor="45" w:history="1">
        <w:r w:rsidRPr="00186F49">
          <w:rPr>
            <w:rFonts w:ascii="Arial" w:eastAsia="Times New Roman" w:hAnsi="Arial" w:cs="Arial"/>
            <w:color w:val="0000FF"/>
            <w:kern w:val="0"/>
            <w:szCs w:val="24"/>
            <w:u w:val="single"/>
            <w:lang w:eastAsia="es-ES"/>
          </w:rPr>
          <w:t>Adicionado por el art. 45, Ley 1328 de 2009</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Afiliación al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6" w:name="BM2"/>
      <w:bookmarkEnd w:id="6"/>
      <w:r w:rsidRPr="00186F49">
        <w:rPr>
          <w:rFonts w:ascii="Arial" w:eastAsia="Times New Roman" w:hAnsi="Arial" w:cs="Arial"/>
          <w:b/>
          <w:bCs/>
          <w:kern w:val="0"/>
          <w:szCs w:val="24"/>
          <w:lang w:eastAsia="es-ES"/>
        </w:rPr>
        <w:t>ARTICULO. 15.-</w:t>
      </w:r>
      <w:r w:rsidRPr="00186F49">
        <w:rPr>
          <w:rFonts w:ascii="Arial" w:eastAsia="Times New Roman" w:hAnsi="Arial" w:cs="Arial"/>
          <w:kern w:val="0"/>
          <w:szCs w:val="24"/>
          <w:lang w:eastAsia="es-ES"/>
        </w:rPr>
        <w:t xml:space="preserve"> </w:t>
      </w:r>
      <w:hyperlink r:id="rId36" w:anchor="3" w:history="1">
        <w:r w:rsidRPr="00186F49">
          <w:rPr>
            <w:rFonts w:ascii="Arial" w:eastAsia="Times New Roman" w:hAnsi="Arial" w:cs="Arial"/>
            <w:color w:val="0000FF"/>
            <w:kern w:val="0"/>
            <w:szCs w:val="24"/>
            <w:u w:val="single"/>
            <w:lang w:eastAsia="es-ES"/>
          </w:rPr>
          <w:t>Modificado por el art. 3, Ley 797 de 2003</w:t>
        </w:r>
      </w:hyperlink>
      <w:r w:rsidRPr="00186F49">
        <w:rPr>
          <w:rFonts w:ascii="Arial" w:eastAsia="Times New Roman" w:hAnsi="Arial" w:cs="Arial"/>
          <w:b/>
          <w:bCs/>
          <w:kern w:val="0"/>
          <w:szCs w:val="24"/>
          <w:lang w:eastAsia="es-ES"/>
        </w:rPr>
        <w:t xml:space="preserve"> Afiliados</w:t>
      </w:r>
      <w:r w:rsidRPr="00186F49">
        <w:rPr>
          <w:rFonts w:ascii="Arial" w:eastAsia="Times New Roman" w:hAnsi="Arial" w:cs="Arial"/>
          <w:kern w:val="0"/>
          <w:szCs w:val="24"/>
          <w:lang w:eastAsia="es-ES"/>
        </w:rPr>
        <w:t>. Serán afiliados al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En forma obligatoria: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Todas aquellas personas vinculadas mediante contrato de trabajo o como servidores públicos, salvo las excepciones previstas en esta ley. Así mismo, los grupos de población que por sus características o condiciones socioeconómicas sean elegibles para ser beneficiarios de subsidios a través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de acuerdo con las disponibilidades presupuestales.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En forma voluntaria: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Los trabajadores independientes y en general todas las personas naturales residentes en el país y los colombianos domiciliados en el exterior, que no tengan la calidad de afiliados obligatorios y que no se encuentren expresamente excluidos por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extranjeros que en virtud de un contrato de trabajo permanezcan en el país y no estén cubiertos por algún régimen de su país de origen o de cualquier otro.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PARAGRAFO.- </w:t>
      </w:r>
      <w:r w:rsidRPr="00186F49">
        <w:rPr>
          <w:rFonts w:ascii="Arial" w:eastAsia="Times New Roman" w:hAnsi="Arial" w:cs="Arial"/>
          <w:kern w:val="0"/>
          <w:szCs w:val="24"/>
          <w:lang w:eastAsia="es-ES"/>
        </w:rPr>
        <w:t>Las personas a que se refiere el numeral segundo del presente artículo podrán afiliarse al régimen por intermedio de sus agremiaciones o asociaciones, de acuerdo con la reglamentación que para tal efecto se expida dentro de los tres meses siguientes a la vigencia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37" w:anchor="1" w:history="1">
        <w:r w:rsidRPr="00186F49">
          <w:rPr>
            <w:rFonts w:ascii="Arial" w:eastAsia="Times New Roman" w:hAnsi="Arial" w:cs="Arial"/>
            <w:color w:val="0000FF"/>
            <w:kern w:val="0"/>
            <w:szCs w:val="24"/>
            <w:u w:val="single"/>
            <w:lang w:eastAsia="es-ES"/>
          </w:rPr>
          <w:t>Ver el art. 1, Decreto Nacional 510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 w:name="BM16"/>
      <w:r w:rsidRPr="00186F49">
        <w:rPr>
          <w:rFonts w:ascii="Arial" w:eastAsia="Times New Roman" w:hAnsi="Arial" w:cs="Arial"/>
          <w:b/>
          <w:bCs/>
          <w:kern w:val="0"/>
          <w:szCs w:val="24"/>
          <w:lang w:eastAsia="es-ES"/>
        </w:rPr>
        <w:t> </w:t>
      </w:r>
      <w:bookmarkEnd w:id="7"/>
      <w:r w:rsidRPr="00186F49">
        <w:rPr>
          <w:rFonts w:ascii="Arial" w:eastAsia="Times New Roman" w:hAnsi="Arial" w:cs="Arial"/>
          <w:b/>
          <w:bCs/>
          <w:kern w:val="0"/>
          <w:szCs w:val="24"/>
          <w:lang w:eastAsia="es-ES"/>
        </w:rPr>
        <w:t>16.-Incompatibilidad de regímenes</w:t>
      </w:r>
      <w:r w:rsidRPr="00186F49">
        <w:rPr>
          <w:rFonts w:ascii="Arial" w:eastAsia="Times New Roman" w:hAnsi="Arial" w:cs="Arial"/>
          <w:kern w:val="0"/>
          <w:szCs w:val="24"/>
          <w:lang w:eastAsia="es-ES"/>
        </w:rPr>
        <w:t>.  </w:t>
      </w:r>
      <w:hyperlink r:id="rId38" w:anchor="0" w:history="1">
        <w:r w:rsidRPr="00186F49">
          <w:rPr>
            <w:rFonts w:ascii="Arial" w:eastAsia="Times New Roman" w:hAnsi="Arial" w:cs="Arial"/>
            <w:color w:val="0000FF"/>
            <w:kern w:val="0"/>
            <w:szCs w:val="24"/>
            <w:u w:val="single"/>
            <w:lang w:eastAsia="es-ES"/>
          </w:rPr>
          <w:t>Reglamentado por el Decreto Nacional 3995 de 2008</w:t>
        </w:r>
      </w:hyperlink>
      <w:r w:rsidRPr="00186F49">
        <w:rPr>
          <w:rFonts w:ascii="Arial" w:eastAsia="Times New Roman" w:hAnsi="Arial" w:cs="Arial"/>
          <w:kern w:val="0"/>
          <w:szCs w:val="24"/>
          <w:lang w:eastAsia="es-ES"/>
        </w:rPr>
        <w:t>. Ninguna persona podrá distribuir las cotizaciones obligatorias entre los dos regímenes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 dispuesto en el inciso anterior se entenderá sin perjuicio de la facultad de los afiliados para contratar o ser partícipes en planes de pensiones complementarios dentro o fuera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TRANSITORIO</w:t>
      </w:r>
      <w:r w:rsidRPr="00186F49">
        <w:rPr>
          <w:rFonts w:ascii="Arial" w:eastAsia="Times New Roman" w:hAnsi="Arial" w:cs="Arial"/>
          <w:kern w:val="0"/>
          <w:szCs w:val="24"/>
          <w:lang w:eastAsia="es-ES"/>
        </w:rPr>
        <w:t>.-El Gobierno Nacional reglamentará en el término de seis (6) meses contados a partir de la vigencia de la presente ley, la integración y funciones de una comisión permanente de trabajadores, empleadores y pensionados, para analizar las fallas en la prestación del servicio administrativo de seguridad social, para que con un enfoque de rentabilidad social mantenga el objetivo básico de redistribución de la riqueza.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Cotizaciones al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w:t>
      </w:r>
      <w:r w:rsidRPr="00186F49">
        <w:rPr>
          <w:rFonts w:ascii="Arial" w:eastAsia="Times New Roman" w:hAnsi="Arial" w:cs="Arial"/>
          <w:kern w:val="0"/>
          <w:szCs w:val="24"/>
          <w:lang w:eastAsia="es-ES"/>
        </w:rPr>
        <w:t xml:space="preserve"> </w:t>
      </w:r>
      <w:hyperlink r:id="rId39" w:anchor="4" w:history="1">
        <w:r w:rsidRPr="00186F49">
          <w:rPr>
            <w:rFonts w:ascii="Arial" w:eastAsia="Times New Roman" w:hAnsi="Arial" w:cs="Arial"/>
            <w:color w:val="0000FF"/>
            <w:kern w:val="0"/>
            <w:szCs w:val="24"/>
            <w:u w:val="single"/>
            <w:lang w:eastAsia="es-ES"/>
          </w:rPr>
          <w:t>Modificado por el art. 4, Ley 797 de 2003</w:t>
        </w:r>
      </w:hyperlink>
      <w:r w:rsidRPr="00186F49">
        <w:rPr>
          <w:rFonts w:ascii="Arial" w:eastAsia="Times New Roman" w:hAnsi="Arial" w:cs="Arial"/>
          <w:b/>
          <w:bCs/>
          <w:kern w:val="0"/>
          <w:szCs w:val="24"/>
          <w:lang w:eastAsia="es-ES"/>
        </w:rPr>
        <w:t xml:space="preserve"> Obligatoriedad de las cotizaciones</w:t>
      </w:r>
      <w:r w:rsidRPr="00186F49">
        <w:rPr>
          <w:rFonts w:ascii="Arial" w:eastAsia="Times New Roman" w:hAnsi="Arial" w:cs="Arial"/>
          <w:kern w:val="0"/>
          <w:szCs w:val="24"/>
          <w:lang w:eastAsia="es-ES"/>
        </w:rPr>
        <w:t>. Durante la vigencia de la relación laboral deberán efectuarse cotizaciones obligatorias a los regímenes del sistema general de pensiones por parte de los afiliados y empleadores, con base en el salario que aquéllos devenguen.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Salvo lo dispuesto en el artículo 64 de esta ley, la obligación de cotizar cesa al momento en que el afiliado reúna los requisitos para acceder a la pensión mínima de vejez, o cuando el afiliado se pensione por invalidez o anticipadamente.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 anterior será sin perjuicio de los aportes voluntarios que decida continuar efectuando el afiliado o el empleador en el caso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18.- Base de cotización de los trabajadores dependientes de los sectores privado y público</w:t>
      </w:r>
      <w:r w:rsidRPr="00186F49">
        <w:rPr>
          <w:rFonts w:ascii="Arial" w:eastAsia="Times New Roman" w:hAnsi="Arial" w:cs="Arial"/>
          <w:kern w:val="0"/>
          <w:szCs w:val="24"/>
          <w:lang w:eastAsia="es-ES"/>
        </w:rPr>
        <w:t>. La base para calcular las cotizaciones a que hace referencia el artículo anterior, será el salario mensual.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salario mensual base de cotización para los trabajadores particulares será el que resulte de aplicar lo dispuesto en el Código Sustantivo del Trabajo.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salario mensual base de cotización para los servidores del sector público será el que se señale, de conformidad con lo dispuesto en la Ley 4ª de 1992.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40" w:anchor="5" w:history="1">
        <w:r w:rsidRPr="00186F49">
          <w:rPr>
            <w:rFonts w:ascii="Arial" w:eastAsia="Times New Roman" w:hAnsi="Arial" w:cs="Arial"/>
            <w:color w:val="0000FF"/>
            <w:kern w:val="0"/>
            <w:szCs w:val="24"/>
            <w:u w:val="single"/>
            <w:lang w:eastAsia="es-ES"/>
          </w:rPr>
          <w:t>Modificado por el art. 5,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En ningún caso la base de cotización podrá ser inferior al monto del salario mínimo legal mensual vigente, salvo lo dispuesto para los trabajadores del servicio doméstico conforme a la Ley 11 de 1988.</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se devengue mensualmente más de 20 salarios mínimos legales mensuales vigentes, la base de cotización podrá ser limitada a dicho monto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cotizaciones de los trabajadores cuya remuneración se pacte bajo la modalidad de salario integral, se calculará sobre el 70% de dicho salario.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hyperlink r:id="rId41" w:anchor="5" w:history="1">
        <w:r w:rsidRPr="00186F49">
          <w:rPr>
            <w:rFonts w:ascii="Arial" w:eastAsia="Times New Roman" w:hAnsi="Arial" w:cs="Arial"/>
            <w:color w:val="0000FF"/>
            <w:kern w:val="0"/>
            <w:szCs w:val="24"/>
            <w:u w:val="single"/>
            <w:lang w:eastAsia="es-ES"/>
          </w:rPr>
          <w:t>Modificado por el art. 5,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En aquellos casos en los cuales el afiliado perciba salario de dos o más empleadores, las cotizaciones correspondientes serán efectuadas en forma proporcional al salario devengado de cada uno de ellos, y dichos salarios se acumularán para todos los efectos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A partir de la vigencia de la presente ley se eliminan las tablas de categorías y aportes del Instituto de Seguros Sociales y de las demás entidades de previsión y seguridad social. En consecuencia, las cotizaciones se liquidarán con base en el salario devengado por el afiliado.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Cuando el Gobierno Nacional limite la base de cotizaciones a veinte (20) salarios mínimos, el monto de las pensiones en el régimen de prima media con prestación definida no podrá ser superior a dicho valor.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8" w:name="BM3"/>
      <w:bookmarkEnd w:id="8"/>
      <w:r w:rsidRPr="00186F49">
        <w:rPr>
          <w:rFonts w:ascii="Arial" w:eastAsia="Times New Roman" w:hAnsi="Arial" w:cs="Arial"/>
          <w:b/>
          <w:bCs/>
          <w:kern w:val="0"/>
          <w:szCs w:val="24"/>
          <w:lang w:eastAsia="es-ES"/>
        </w:rPr>
        <w:t>ARTICULO. </w:t>
      </w:r>
      <w:bookmarkStart w:id="9" w:name="19"/>
      <w:r w:rsidRPr="00186F49">
        <w:rPr>
          <w:rFonts w:ascii="Arial" w:eastAsia="Times New Roman" w:hAnsi="Arial" w:cs="Arial"/>
          <w:b/>
          <w:bCs/>
          <w:kern w:val="0"/>
          <w:szCs w:val="24"/>
          <w:lang w:eastAsia="es-ES"/>
        </w:rPr>
        <w:t> </w:t>
      </w:r>
      <w:bookmarkEnd w:id="9"/>
      <w:r w:rsidRPr="00186F49">
        <w:rPr>
          <w:rFonts w:ascii="Arial" w:eastAsia="Times New Roman" w:hAnsi="Arial" w:cs="Arial"/>
          <w:b/>
          <w:bCs/>
          <w:kern w:val="0"/>
          <w:szCs w:val="24"/>
          <w:lang w:eastAsia="es-ES"/>
        </w:rPr>
        <w:t>19.-</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Base de cotización de los trabajadores independientes</w:t>
      </w:r>
      <w:r w:rsidRPr="00186F49">
        <w:rPr>
          <w:rFonts w:ascii="Arial" w:eastAsia="Times New Roman" w:hAnsi="Arial" w:cs="Arial"/>
          <w:kern w:val="0"/>
          <w:szCs w:val="24"/>
          <w:lang w:eastAsia="es-ES"/>
        </w:rPr>
        <w:t xml:space="preserve">.  </w:t>
      </w:r>
      <w:hyperlink r:id="rId42" w:anchor="6" w:history="1">
        <w:r w:rsidRPr="00186F49">
          <w:rPr>
            <w:rFonts w:ascii="Arial" w:eastAsia="Times New Roman" w:hAnsi="Arial" w:cs="Arial"/>
            <w:color w:val="0000FF"/>
            <w:kern w:val="0"/>
            <w:szCs w:val="24"/>
            <w:u w:val="single"/>
            <w:lang w:eastAsia="es-ES"/>
          </w:rPr>
          <w:t>Modificado por el art. 6, Ley 797 de 2003</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El nuevo texto es el siguiente: </w:t>
      </w:r>
      <w:r w:rsidRPr="00186F49">
        <w:rPr>
          <w:rFonts w:ascii="Arial" w:eastAsia="Times New Roman" w:hAnsi="Arial" w:cs="Arial"/>
          <w:kern w:val="0"/>
          <w:szCs w:val="24"/>
          <w:lang w:eastAsia="es-ES"/>
        </w:rPr>
        <w:t>Los afiliados al sistema que no estén vinculados mediante contrato de trabajo, contrato de prestación de servicios o como servidores públicos, cotizarán sobre los ingresos que declaren ante la entidad a la cual se afilien, guardando correspondencia con los ingresos efectivamente percibidos.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se trate de personas que el Gobierno Nacional haya determinado que deban ser subsidiadas temporalmente en sus aportes, deberán cubrir la diferencia entre la totalidad del aporte y el subsidio recibido.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ningún caso la base de cotización podrá ser inferior al salario mínimo legal mensual vigente.</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lastRenderedPageBreak/>
        <w:t xml:space="preserve">Texto anterior: </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Los afiliados al sistema que no estén vinculados mediante contrato de trabajo o como servidores públicos, cotizarán sobre los ingresos que declaren ante la entidad a la cual se afilien, y serán responsables por la totalidad de la cotización.</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Cuando se trate de personas que el Gobierno Nacional haya determinado que deban ser subsidiadas temporalmente en sus aportes, deberán cubrir la diferencia entre la totalidad del aporte y el subsidio recibido.</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Los afiliados a que se refiere este artículo, podrán autorizar a quien realice a su favor pagos o abonos en cuenta, para que efectúe la retención de la cotización y haga los traslados correspondientes.</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En ningún caso la base de cotización podrá ser inferior al salario mínimo legal mensual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Parágrafo.</w:t>
      </w:r>
      <w:r w:rsidRPr="00186F49">
        <w:rPr>
          <w:rFonts w:ascii="Arial" w:eastAsia="Times New Roman" w:hAnsi="Arial" w:cs="Arial"/>
          <w:kern w:val="0"/>
          <w:szCs w:val="24"/>
          <w:lang w:eastAsia="es-ES"/>
        </w:rPr>
        <w:t xml:space="preserve"> </w:t>
      </w:r>
      <w:hyperlink r:id="rId43" w:anchor="2" w:history="1">
        <w:r w:rsidRPr="00186F49">
          <w:rPr>
            <w:rFonts w:ascii="Arial" w:eastAsia="Times New Roman" w:hAnsi="Arial" w:cs="Arial"/>
            <w:color w:val="0000FF"/>
            <w:kern w:val="0"/>
            <w:szCs w:val="24"/>
            <w:u w:val="single"/>
            <w:lang w:eastAsia="es-ES"/>
          </w:rPr>
          <w:t>Adicionado por el art. 2, Ley 1250 de 2008</w:t>
        </w:r>
      </w:hyperlink>
      <w:r w:rsidRPr="00186F49">
        <w:rPr>
          <w:rFonts w:ascii="Arial" w:eastAsia="Times New Roman" w:hAnsi="Arial" w:cs="Arial"/>
          <w:b/>
          <w:bCs/>
          <w:kern w:val="0"/>
          <w:szCs w:val="24"/>
          <w:lang w:eastAsia="es-ES"/>
        </w:rPr>
        <w:t>, así:</w:t>
      </w:r>
      <w:r w:rsidRPr="00186F49">
        <w:rPr>
          <w:rFonts w:ascii="Arial" w:eastAsia="Times New Roman" w:hAnsi="Arial" w:cs="Arial"/>
          <w:kern w:val="0"/>
          <w:szCs w:val="24"/>
          <w:lang w:eastAsia="es-ES"/>
        </w:rPr>
        <w:t xml:space="preserve"> Las personas a las que se refiere el presente artículo, cuyos ingresos mensuales sean inferiores o iguales a un (1) salario mínimo legal mensual, que registren dicho ingreso conforme al procedimiento que para el efecto determine el Gobierno Nacional, no estarán obligados a cotizar para el Sistema General de Pensiones durante los próximos 3 años a partir de la vigencia de la presente ley, no obstante de los dispuesto en este parágrafo, quienes voluntariamente decidan cotizar al sistema general de pensiones podrán hacerlo.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Durante este lapso, el Gobierno Nacional evaluará los resultados de la aplicación del presente parágrafo y presentará a consideración del Congreso las iniciativas que considere viables para facilitar el acceso a esquemas de protección "ECONÓMICA" para la vejez de esta franja poblacional.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 w:name="BM20"/>
      <w:r w:rsidRPr="00186F49">
        <w:rPr>
          <w:rFonts w:ascii="Arial" w:eastAsia="Times New Roman" w:hAnsi="Arial" w:cs="Arial"/>
          <w:b/>
          <w:bCs/>
          <w:kern w:val="0"/>
          <w:szCs w:val="24"/>
          <w:lang w:eastAsia="es-ES"/>
        </w:rPr>
        <w:t> </w:t>
      </w:r>
      <w:bookmarkStart w:id="11" w:name="20"/>
      <w:bookmarkEnd w:id="10"/>
      <w:r w:rsidRPr="00186F49">
        <w:rPr>
          <w:rFonts w:ascii="Arial" w:eastAsia="Times New Roman" w:hAnsi="Arial" w:cs="Arial"/>
          <w:b/>
          <w:bCs/>
          <w:kern w:val="0"/>
          <w:szCs w:val="24"/>
          <w:lang w:eastAsia="es-ES"/>
        </w:rPr>
        <w:t> </w:t>
      </w:r>
      <w:bookmarkEnd w:id="11"/>
      <w:r w:rsidRPr="00186F49">
        <w:rPr>
          <w:rFonts w:ascii="Arial" w:eastAsia="Times New Roman" w:hAnsi="Arial" w:cs="Arial"/>
          <w:b/>
          <w:bCs/>
          <w:kern w:val="0"/>
          <w:szCs w:val="24"/>
          <w:lang w:eastAsia="es-ES"/>
        </w:rPr>
        <w:t>20.-</w:t>
      </w:r>
      <w:r w:rsidRPr="00186F49">
        <w:rPr>
          <w:rFonts w:ascii="Arial" w:eastAsia="Times New Roman" w:hAnsi="Arial" w:cs="Arial"/>
          <w:kern w:val="0"/>
          <w:szCs w:val="24"/>
          <w:lang w:eastAsia="es-ES"/>
        </w:rPr>
        <w:t xml:space="preserve"> </w:t>
      </w:r>
      <w:hyperlink r:id="rId44" w:anchor="7" w:history="1">
        <w:r w:rsidRPr="00186F49">
          <w:rPr>
            <w:rFonts w:ascii="Arial" w:eastAsia="Times New Roman" w:hAnsi="Arial" w:cs="Arial"/>
            <w:color w:val="0000FF"/>
            <w:kern w:val="0"/>
            <w:szCs w:val="24"/>
            <w:u w:val="single"/>
            <w:lang w:eastAsia="es-ES"/>
          </w:rPr>
          <w:t>Modificado por el art. 7, Ley 797 de 2003</w:t>
        </w:r>
      </w:hyperlink>
      <w:r w:rsidRPr="00186F49">
        <w:rPr>
          <w:rFonts w:ascii="Arial" w:eastAsia="Times New Roman" w:hAnsi="Arial" w:cs="Arial"/>
          <w:b/>
          <w:bCs/>
          <w:kern w:val="0"/>
          <w:szCs w:val="24"/>
          <w:lang w:eastAsia="es-ES"/>
        </w:rPr>
        <w:t xml:space="preserve"> Monto de las cotizaciones.</w:t>
      </w:r>
      <w:r w:rsidRPr="00186F49">
        <w:rPr>
          <w:rFonts w:ascii="Arial" w:eastAsia="Times New Roman" w:hAnsi="Arial" w:cs="Arial"/>
          <w:kern w:val="0"/>
          <w:szCs w:val="24"/>
          <w:lang w:eastAsia="es-ES"/>
        </w:rPr>
        <w:t xml:space="preserve"> La tasa de cotización para la pensión de vejez, será del 8% en 1994, 9% en 1995 y del 10% a partir de 1996, calculado sobre el ingreso base y se abonarán en las cuentas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en el caso de los fondos de pensiones. En el caso del ISS, dichos porcentajes se utilizarán para el pago de pensiones de vejez y capitalización de reservas, mediante la constitución de un patrimonio autónomo destinado exclusivamente a dichos efectos.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pagar la pensión de invalidez, la pensión de sobrevivientes y los gastos de administración del sistema, incluida la prima del reaseguro con el fondo de garantías, la tasa será, tanto en el ISS como en los fondos de pensiones, del 3.5%.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Sin embargo, en la medida en que los costos de administración y las primas de los seguros se disminuyan, dichas reducciones deberán abonarse como un mayor valor en las cuentas de ahorro de los trabajadores o de las reservas en el ISS, según el caso. La cotización total será el equivalente a la suma del porcentaje de cotización para la pensión de vejez y la tasa de que trata el inciso anterior.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empleadores pagarán el 75% de la cotización total y los trabajadores, el 25% restante.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Para financiar las pensiones de invalidez y de sobrevivientes de los actuales y futuros afiliados al ISS, se podrá trasladar de las reservas de pensión de vejez </w:t>
      </w:r>
      <w:r w:rsidRPr="00186F49">
        <w:rPr>
          <w:rFonts w:ascii="Arial" w:eastAsia="Times New Roman" w:hAnsi="Arial" w:cs="Arial"/>
          <w:kern w:val="0"/>
          <w:szCs w:val="24"/>
          <w:lang w:eastAsia="es-ES"/>
        </w:rPr>
        <w:lastRenderedPageBreak/>
        <w:t>a las de invalidez y sobrevivientes un monto equivalente al que se obtendría por el bono de reconocimiento de conformidad con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reglamentará el funcionamiento de las cuentas separadas en el Instituto de Seguros Sociales, de manera que en ningún caso se puedan utilizar recursos de las reservas de pensión de vejez, para gastos administrativos u otros fines distintos.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afiliados que tengan un ingreso mensual igual o superior a cuatro (4) salarios mínimos mensuales legales vigentes, tendrán a su cargo un aporte adicional de un punto porcentual (1%) sobre su base de cotización, destinado al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previsto por los artículos 25 y siguientes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 entidad a la cual esté cotizando el afiliado deberá recaudar y trasladar al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el punto porcentual adicional a que se refiere el inciso anterior, dentro de los plazos que señale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PARAGRAFO </w:t>
      </w:r>
      <w:proofErr w:type="gramStart"/>
      <w:r w:rsidRPr="00186F49">
        <w:rPr>
          <w:rFonts w:ascii="Arial" w:eastAsia="Times New Roman" w:hAnsi="Arial" w:cs="Arial"/>
          <w:b/>
          <w:bCs/>
          <w:kern w:val="0"/>
          <w:szCs w:val="24"/>
          <w:lang w:eastAsia="es-ES"/>
        </w:rPr>
        <w:t>3 .</w:t>
      </w:r>
      <w:proofErr w:type="gramEnd"/>
      <w:r w:rsidRPr="00186F49">
        <w:rPr>
          <w:rFonts w:ascii="Arial" w:eastAsia="Times New Roman" w:hAnsi="Arial" w:cs="Arial"/>
          <w:b/>
          <w:bCs/>
          <w:kern w:val="0"/>
          <w:szCs w:val="24"/>
          <w:lang w:eastAsia="es-ES"/>
        </w:rPr>
        <w:t xml:space="preserve">- </w:t>
      </w:r>
      <w:hyperlink r:id="rId45" w:anchor="46" w:history="1">
        <w:r w:rsidRPr="00186F49">
          <w:rPr>
            <w:rFonts w:ascii="Arial" w:eastAsia="Times New Roman" w:hAnsi="Arial" w:cs="Arial"/>
            <w:color w:val="0000FF"/>
            <w:kern w:val="0"/>
            <w:szCs w:val="24"/>
            <w:u w:val="single"/>
            <w:lang w:eastAsia="es-ES"/>
          </w:rPr>
          <w:t>Adicionado por el art. 46, Ley 1328 de 2009</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46" w:anchor="1" w:history="1">
        <w:r w:rsidRPr="00186F49">
          <w:rPr>
            <w:rFonts w:ascii="Arial" w:eastAsia="Times New Roman" w:hAnsi="Arial" w:cs="Arial"/>
            <w:color w:val="0000FF"/>
            <w:kern w:val="0"/>
            <w:szCs w:val="24"/>
            <w:u w:val="single"/>
            <w:lang w:eastAsia="es-ES"/>
          </w:rPr>
          <w:t>Ver el art. 4, Decreto Nacional 510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21.-Ingreso base de liquidación</w:t>
      </w:r>
      <w:r w:rsidRPr="00186F49">
        <w:rPr>
          <w:rFonts w:ascii="Arial" w:eastAsia="Times New Roman" w:hAnsi="Arial" w:cs="Arial"/>
          <w:kern w:val="0"/>
          <w:szCs w:val="24"/>
          <w:lang w:eastAsia="es-ES"/>
        </w:rPr>
        <w:t>. Se entiende por ingreso base para liquidar las pensiones previstas en esta ley, el promedio de los salarios o rentas sobre los cuales ha cotizado el afiliado durante los diez (10) años anteriores al reconocimiento de la pensión, o en todo el tiempo si este fuere inferior para el caso de las pensiones de invalidez o sobrevivencia, actualizados anualmente con base en la variación del índice de precios al consumidor, según certificación que expida el DANE.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el promedio del ingreso base, ajustado por inflación, calculado sobre los ingresos de toda la vida laboral del trabajador, resulte superior al previsto en el inciso anterior, el trabajador podrá optar por este sistema, siempre y cuando haya cotizado 1.250 semanas como mínimo.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22.-Obligaciones del empleador</w:t>
      </w:r>
      <w:r w:rsidRPr="00186F49">
        <w:rPr>
          <w:rFonts w:ascii="Arial" w:eastAsia="Times New Roman" w:hAnsi="Arial" w:cs="Arial"/>
          <w:kern w:val="0"/>
          <w:szCs w:val="24"/>
          <w:lang w:eastAsia="es-ES"/>
        </w:rPr>
        <w:t>. El empleador será responsable del pago de su aporte y del aporte de los trabajadores a su servicio. Para tal efecto, descontará del salario de cada afiliado, al momento de su pago, el monto de las cotizaciones obligatorias y el de las voluntarias que expresamente haya autorizado por escrito el afiliado, y trasladará estas sumas a la entidad elegida por el trabajador, junto con las correspondientes a su aporte, dentro de los plazos que para el efecto determine el gobierno.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empleador responderá por la totalidad del aporte aun en el evento de que no hubiere efectuado el descuento al trabajador.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23.-Sanción moratoria</w:t>
      </w:r>
      <w:r w:rsidRPr="00186F49">
        <w:rPr>
          <w:rFonts w:ascii="Arial" w:eastAsia="Times New Roman" w:hAnsi="Arial" w:cs="Arial"/>
          <w:kern w:val="0"/>
          <w:szCs w:val="24"/>
          <w:lang w:eastAsia="es-ES"/>
        </w:rPr>
        <w:t xml:space="preserve">. Los aportes que no se consignen dentro de los plazos señalados para el efecto, generarán un interés moratorio a cargo del empleador, igual al que rige para el impuesto sobre la renta y complementarios. Estos intereses se abonarán en el fondo de reparto </w:t>
      </w:r>
      <w:r w:rsidRPr="00186F49">
        <w:rPr>
          <w:rFonts w:ascii="Arial" w:eastAsia="Times New Roman" w:hAnsi="Arial" w:cs="Arial"/>
          <w:kern w:val="0"/>
          <w:szCs w:val="24"/>
          <w:lang w:eastAsia="es-ES"/>
        </w:rPr>
        <w:lastRenderedPageBreak/>
        <w:t xml:space="preserve">correspondiente o en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 los respectivos afiliados, según sea el caso.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ordenadores del gasto de las entidades del sector público que sin justa causa no dispongan la consignación oportuna de los aportes, incurrirán en causal de mala conducta, que será sancionada con arreglo al régimen disciplinario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todas las entidades del sector público será obligatorio incluir en el presupuesto las partidas necesarias para el pago del aporte patronal a la seguridad social, como requisito para la presentación, trámite y estudio por parte de la autoridad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24.-Acciones de cobro.</w:t>
      </w:r>
      <w:r w:rsidRPr="00186F49">
        <w:rPr>
          <w:rFonts w:ascii="Arial" w:eastAsia="Times New Roman" w:hAnsi="Arial" w:cs="Arial"/>
          <w:kern w:val="0"/>
          <w:szCs w:val="24"/>
          <w:lang w:eastAsia="es-ES"/>
        </w:rPr>
        <w:t xml:space="preserve"> Corresponde a las entidades administradoras de los diferentes regímenes adelantar las acciones de cobro con motivo del incumplimiento de las obligaciones del empleador de conformidad con la reglamentación que expida el Gobierno Nacional. Para tal efecto, la liquidación mediante la cual la administradora determine el valor adeudado, prestará mérito ejecutivo.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Fondo de solidaridad </w:t>
      </w:r>
      <w:proofErr w:type="spellStart"/>
      <w:r w:rsidRPr="00186F49">
        <w:rPr>
          <w:rFonts w:ascii="Arial" w:eastAsia="Times New Roman" w:hAnsi="Arial" w:cs="Arial"/>
          <w:b/>
          <w:bCs/>
          <w:kern w:val="0"/>
          <w:szCs w:val="24"/>
          <w:lang w:eastAsia="es-ES"/>
        </w:rPr>
        <w:t>pensional</w:t>
      </w:r>
      <w:proofErr w:type="spellEnd"/>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2" w:name="BM25"/>
      <w:r w:rsidRPr="00186F49">
        <w:rPr>
          <w:rFonts w:ascii="Arial" w:eastAsia="Times New Roman" w:hAnsi="Arial" w:cs="Arial"/>
          <w:b/>
          <w:bCs/>
          <w:kern w:val="0"/>
          <w:szCs w:val="24"/>
          <w:lang w:eastAsia="es-ES"/>
        </w:rPr>
        <w:t> </w:t>
      </w:r>
      <w:bookmarkEnd w:id="12"/>
      <w:r w:rsidRPr="00186F49">
        <w:rPr>
          <w:rFonts w:ascii="Arial" w:eastAsia="Times New Roman" w:hAnsi="Arial" w:cs="Arial"/>
          <w:b/>
          <w:bCs/>
          <w:kern w:val="0"/>
          <w:szCs w:val="24"/>
          <w:lang w:eastAsia="es-ES"/>
        </w:rPr>
        <w:t xml:space="preserve">25.-Creación del fondo de solidaridad </w:t>
      </w:r>
      <w:proofErr w:type="spellStart"/>
      <w:r w:rsidRPr="00186F49">
        <w:rPr>
          <w:rFonts w:ascii="Arial" w:eastAsia="Times New Roman" w:hAnsi="Arial" w:cs="Arial"/>
          <w:b/>
          <w:bCs/>
          <w:kern w:val="0"/>
          <w:szCs w:val="24"/>
          <w:lang w:eastAsia="es-ES"/>
        </w:rPr>
        <w:t>pensional</w:t>
      </w:r>
      <w:proofErr w:type="spellEnd"/>
      <w:r w:rsidRPr="00186F49">
        <w:rPr>
          <w:rFonts w:ascii="Arial" w:eastAsia="Times New Roman" w:hAnsi="Arial" w:cs="Arial"/>
          <w:kern w:val="0"/>
          <w:szCs w:val="24"/>
          <w:lang w:eastAsia="es-ES"/>
        </w:rPr>
        <w:t xml:space="preserve">. Créase 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como una cuenta especial de la Nación, sin personería jurídica, adscrita al Ministerio de Trabajo y Seguridad Social, cuyos recursos serán administrados en fiducia por las sociedades fiduciarias de naturaleza pública, y preferencialmente por las sociedades fiduciarias del sector social solidario, o por las administradoras de fondos de pensiones y/o cesantía del sector social solidario, las cuales quedan autorizadas para tal efecto por virtud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-El Gobierno Nacional reglamentará la administración, el funcionamiento y la destinación de los recursos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de acuerdo con lo previsto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contará con un consejo asesor integrado por representantes de los gremios de la producción, las centrales obreras y la confederación de pensionados, de conformidad con la reglamentación que para el efecto expida el Gobierno Nacional. Este consejo deberá ser oído previamente, sin carácter vinculante, por el Consejo Nacional de Política Social para la determinación del plan anual de extensión de cobertura a que se refiere el artículo 28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3" w:name="BM26"/>
      <w:r w:rsidRPr="00186F49">
        <w:rPr>
          <w:rFonts w:ascii="Arial" w:eastAsia="Times New Roman" w:hAnsi="Arial" w:cs="Arial"/>
          <w:b/>
          <w:bCs/>
          <w:kern w:val="0"/>
          <w:szCs w:val="24"/>
          <w:lang w:eastAsia="es-ES"/>
        </w:rPr>
        <w:t> </w:t>
      </w:r>
      <w:bookmarkEnd w:id="13"/>
      <w:r w:rsidRPr="00186F49">
        <w:rPr>
          <w:rFonts w:ascii="Arial" w:eastAsia="Times New Roman" w:hAnsi="Arial" w:cs="Arial"/>
          <w:b/>
          <w:bCs/>
          <w:kern w:val="0"/>
          <w:szCs w:val="24"/>
          <w:lang w:eastAsia="es-ES"/>
        </w:rPr>
        <w:t>26.-Objeto del fondo</w:t>
      </w:r>
      <w:r w:rsidRPr="00186F49">
        <w:rPr>
          <w:rFonts w:ascii="Arial" w:eastAsia="Times New Roman" w:hAnsi="Arial" w:cs="Arial"/>
          <w:kern w:val="0"/>
          <w:szCs w:val="24"/>
          <w:lang w:eastAsia="es-ES"/>
        </w:rPr>
        <w:t xml:space="preserve">. 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tiene por objeto subsidiar los aportes al régimen general de pensiones de los trabajadores asalariados o independientes del sector rural y urbano que carezcan de suficientes recursos para efectuar la totalidad del aporte, tales como artistas, deportistas, músicos, compositores, toreros y sus subalternos, la </w:t>
      </w:r>
      <w:r w:rsidRPr="00186F49">
        <w:rPr>
          <w:rFonts w:ascii="Arial" w:eastAsia="Times New Roman" w:hAnsi="Arial" w:cs="Arial"/>
          <w:kern w:val="0"/>
          <w:szCs w:val="24"/>
          <w:lang w:eastAsia="es-ES"/>
        </w:rPr>
        <w:lastRenderedPageBreak/>
        <w:t>mujer microempresaria, las madres comunitarias, los discapacitados físicos, psíquicos y sensoriales, los miembros de las cooperativas de trabajo asociado y otras formas asociativas de producción, de conformidad con la reglamentación que para el efecto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subsidio se concederá parcialmente para reemplazar los aportes del empleador y del trabajador, o de este último en caso de que tenga la calidad de trabajador independiente, hasta por un salario mínimo como base de cotización. El Gobierno Nacional reglamentará la proporción del subsidio de que trata este inciso.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beneficiarios de estos subsidios podrán escoger entre el régimen solidario de prima media con prestación definida y el régimen de ahorro individual con solidaridad, pero en el evento de seleccionar esta última opción, sólo podrán afiliarse a fondos que administren las sociedades administradoras que pertenezcan al sector social solidario, siempre y cuando su rentabilidad real sea por lo menos igual al promedio de los demás fondos de pensiones de conformidad con lo establecido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hacerse acreedor al subsidio el trabajador deberá acreditar su condición de afiliado del régimen general de seguridad social en salud, y pagar la porción del aporte que allí le corresponda.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Estos subsidios se otorgan a partir del 1º de enero de 1995.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-No podrán ser beneficiarios de este subsidio los trabajadores que tengan una cuenta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voluntario de que trata la presente ley, ni aquéllos a quienes se les compruebe que pueden pagar la totalidad del aporte.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47" w:anchor="19" w:history="1">
        <w:r w:rsidRPr="00186F49">
          <w:rPr>
            <w:rFonts w:ascii="Arial" w:eastAsia="Times New Roman" w:hAnsi="Arial" w:cs="Arial"/>
            <w:color w:val="0000FF"/>
            <w:kern w:val="0"/>
            <w:szCs w:val="24"/>
            <w:u w:val="single"/>
            <w:lang w:eastAsia="es-ES"/>
          </w:rPr>
          <w:t>Ver el art. 19, Ley 1151 de 2007</w:t>
        </w:r>
      </w:hyperlink>
      <w:r w:rsidRPr="00186F49">
        <w:rPr>
          <w:rFonts w:ascii="Arial" w:eastAsia="Times New Roman" w:hAnsi="Arial" w:cs="Arial"/>
          <w:kern w:val="0"/>
          <w:szCs w:val="24"/>
          <w:lang w:eastAsia="es-ES"/>
        </w:rPr>
        <w:t xml:space="preserve"> , </w:t>
      </w:r>
      <w:hyperlink r:id="rId48" w:anchor="0" w:history="1">
        <w:r w:rsidRPr="00186F49">
          <w:rPr>
            <w:rFonts w:ascii="Arial" w:eastAsia="Times New Roman" w:hAnsi="Arial" w:cs="Arial"/>
            <w:color w:val="0000FF"/>
            <w:kern w:val="0"/>
            <w:szCs w:val="24"/>
            <w:u w:val="single"/>
            <w:lang w:eastAsia="es-ES"/>
          </w:rPr>
          <w:t>Ver el Decreto Nacional 1355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4" w:name="BM27"/>
      <w:r w:rsidRPr="00186F49">
        <w:rPr>
          <w:rFonts w:ascii="Arial" w:eastAsia="Times New Roman" w:hAnsi="Arial" w:cs="Arial"/>
          <w:b/>
          <w:bCs/>
          <w:kern w:val="0"/>
          <w:szCs w:val="24"/>
          <w:lang w:eastAsia="es-ES"/>
        </w:rPr>
        <w:t> </w:t>
      </w:r>
      <w:bookmarkEnd w:id="14"/>
      <w:r w:rsidRPr="00186F49">
        <w:rPr>
          <w:rFonts w:ascii="Arial" w:eastAsia="Times New Roman" w:hAnsi="Arial" w:cs="Arial"/>
          <w:b/>
          <w:bCs/>
          <w:kern w:val="0"/>
          <w:szCs w:val="24"/>
          <w:lang w:eastAsia="es-ES"/>
        </w:rPr>
        <w:t>27.-</w:t>
      </w:r>
      <w:r w:rsidRPr="00186F49">
        <w:rPr>
          <w:rFonts w:ascii="Arial" w:eastAsia="Times New Roman" w:hAnsi="Arial" w:cs="Arial"/>
          <w:kern w:val="0"/>
          <w:szCs w:val="24"/>
          <w:lang w:eastAsia="es-ES"/>
        </w:rPr>
        <w:t xml:space="preserve"> </w:t>
      </w:r>
      <w:hyperlink r:id="rId49" w:anchor="8" w:history="1">
        <w:r w:rsidRPr="00186F49">
          <w:rPr>
            <w:rFonts w:ascii="Arial" w:eastAsia="Times New Roman" w:hAnsi="Arial" w:cs="Arial"/>
            <w:color w:val="0000FF"/>
            <w:kern w:val="0"/>
            <w:szCs w:val="24"/>
            <w:u w:val="single"/>
            <w:lang w:eastAsia="es-ES"/>
          </w:rPr>
          <w:t>Modificado por el art. 8, Ley 797 de 2003</w:t>
        </w:r>
      </w:hyperlink>
      <w:r w:rsidRPr="00186F49">
        <w:rPr>
          <w:rFonts w:ascii="Arial" w:eastAsia="Times New Roman" w:hAnsi="Arial" w:cs="Arial"/>
          <w:b/>
          <w:bCs/>
          <w:kern w:val="0"/>
          <w:szCs w:val="24"/>
          <w:lang w:eastAsia="es-ES"/>
        </w:rPr>
        <w:t xml:space="preserve"> Recursos.</w:t>
      </w:r>
      <w:r w:rsidRPr="00186F49">
        <w:rPr>
          <w:rFonts w:ascii="Arial" w:eastAsia="Times New Roman" w:hAnsi="Arial" w:cs="Arial"/>
          <w:kern w:val="0"/>
          <w:szCs w:val="24"/>
          <w:lang w:eastAsia="es-ES"/>
        </w:rPr>
        <w:t xml:space="preserve"> 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tendrá las siguientes fuentes de recursos: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La cotización adicional del 1% sobre el salario, a cargo de los afiliados al régimen general de pensiones cuya base de cotización sea igual o superior a cuatro (4) salarios mínimos legales mensuales vigentes;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w:t>
      </w:r>
      <w:hyperlink r:id="rId50" w:anchor="1" w:history="1">
        <w:r w:rsidRPr="00186F49">
          <w:rPr>
            <w:rFonts w:ascii="Arial" w:eastAsia="Times New Roman" w:hAnsi="Arial" w:cs="Arial"/>
            <w:color w:val="0000FF"/>
            <w:kern w:val="0"/>
            <w:szCs w:val="24"/>
            <w:u w:val="single"/>
            <w:lang w:eastAsia="es-ES"/>
          </w:rPr>
          <w:t xml:space="preserve">Derogado Ley 344 de 1996 articulo </w:t>
        </w:r>
        <w:proofErr w:type="gramStart"/>
        <w:r w:rsidRPr="00186F49">
          <w:rPr>
            <w:rFonts w:ascii="Arial" w:eastAsia="Times New Roman" w:hAnsi="Arial" w:cs="Arial"/>
            <w:color w:val="0000FF"/>
            <w:kern w:val="0"/>
            <w:szCs w:val="24"/>
            <w:u w:val="single"/>
            <w:lang w:eastAsia="es-ES"/>
          </w:rPr>
          <w:t xml:space="preserve">44 </w:t>
        </w:r>
        <w:proofErr w:type="gramEnd"/>
      </w:hyperlink>
      <w:r w:rsidRPr="00186F49">
        <w:rPr>
          <w:rFonts w:ascii="Arial" w:eastAsia="Times New Roman" w:hAnsi="Arial" w:cs="Arial"/>
          <w:kern w:val="0"/>
          <w:szCs w:val="24"/>
          <w:lang w:eastAsia="es-ES"/>
        </w:rPr>
        <w:t>. Los aportes del presupuesto nacional. Estos no podrán ser inferiores a los obtenidos anualmente por concepto de las cotizaciones adicionales a que se refiere el literal anterior, y se liquidarán con base en lo reportado por el fondo en la vigencia del año inmediatamente anterior, actualizados con base en la variación del índice de precios al consumidor, certificado por el DANE;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Los recursos que aporten las entidades territoriales para planes de extensión de cobertura en sus respectivos territorios, o de agremiaciones o federaciones para sus afiliados;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d)  Las donaciones que reciba, los rendimientos financieros de sus excedentes de liquidez, y en general los demás recursos que reciba a cualquier título,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Las multas a que se refieren los artículos 111 y 271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 </w:t>
      </w:r>
      <w:hyperlink r:id="rId51" w:anchor="1" w:history="1">
        <w:r w:rsidRPr="00186F49">
          <w:rPr>
            <w:rFonts w:ascii="Arial" w:eastAsia="Times New Roman" w:hAnsi="Arial" w:cs="Arial"/>
            <w:color w:val="0000FF"/>
            <w:kern w:val="0"/>
            <w:szCs w:val="24"/>
            <w:u w:val="single"/>
            <w:lang w:eastAsia="es-ES"/>
          </w:rPr>
          <w:t xml:space="preserve">Derogado Ley 344 de 1996 articulo </w:t>
        </w:r>
        <w:proofErr w:type="gramStart"/>
        <w:r w:rsidRPr="00186F49">
          <w:rPr>
            <w:rFonts w:ascii="Arial" w:eastAsia="Times New Roman" w:hAnsi="Arial" w:cs="Arial"/>
            <w:color w:val="0000FF"/>
            <w:kern w:val="0"/>
            <w:szCs w:val="24"/>
            <w:u w:val="single"/>
            <w:lang w:eastAsia="es-ES"/>
          </w:rPr>
          <w:t xml:space="preserve">44 </w:t>
        </w:r>
        <w:proofErr w:type="gramEnd"/>
      </w:hyperlink>
      <w:r w:rsidRPr="00186F49">
        <w:rPr>
          <w:rFonts w:ascii="Arial" w:eastAsia="Times New Roman" w:hAnsi="Arial" w:cs="Arial"/>
          <w:kern w:val="0"/>
          <w:szCs w:val="24"/>
          <w:lang w:eastAsia="es-ES"/>
        </w:rPr>
        <w:t>. Anualmente, en el presupuesto general de la Nación, se incluirá la partida correspondiente a los aportes que debe hacer el Gobierno Nacional al fondo.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28.-Parcialidad del subsidio.</w:t>
      </w:r>
      <w:r w:rsidRPr="00186F49">
        <w:rPr>
          <w:rFonts w:ascii="Arial" w:eastAsia="Times New Roman" w:hAnsi="Arial" w:cs="Arial"/>
          <w:kern w:val="0"/>
          <w:szCs w:val="24"/>
          <w:lang w:eastAsia="es-ES"/>
        </w:rPr>
        <w:t xml:space="preserve"> Los subsidios a que se refiere el presente capítulo serán de naturaleza temporal y parcial, de manera que el beneficiario realice un esfuerzo para el pago parcial del aporte a su cargo.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monto del subsidio podrá ser variable por períodos y por actividad económica, teniendo en cuenta además la capacidad económica de los beneficiarios y la disponibilidad de recursos del fondo.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Consejo Nacional de Política Social determinará el plan anual de extensión de cobertura que deberá incluir criterios de equilibrio regional y los grupos de trabajadores beneficiarios de este subsidio, así como las condiciones de cuantía, forma de pago y pérdida del derecho al subsidio.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subsidio que se otorgue a las madres comunitarias o trabajadoras solidarias de los hogares comunitarios del Instituto Colombiano de Bienestar Familiar será mínimo el 50% de la cotización establecida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29.-Exigibilidad del subsidio</w:t>
      </w:r>
      <w:r w:rsidRPr="00186F49">
        <w:rPr>
          <w:rFonts w:ascii="Arial" w:eastAsia="Times New Roman" w:hAnsi="Arial" w:cs="Arial"/>
          <w:kern w:val="0"/>
          <w:szCs w:val="24"/>
          <w:lang w:eastAsia="es-ES"/>
        </w:rPr>
        <w:t xml:space="preserve">. Cuando el afiliado que haya recibido subsidios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exceda de los sesenta y cinco (65) años de edad y no cumpla con los requisitos mínimos para acceder a una pensión de vejez, la entidad administradora respectiva devolverá el monto de los aportes subsidiados con los correspondientes rendimientos financieros a dicho fondo.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administradoras deberán llevar cuentas separadas de los aportes recibidos del fondo y establecerán los mecanismos de seguimiento de los beneficiarios.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30.-</w:t>
      </w:r>
      <w:r w:rsidRPr="00186F49">
        <w:rPr>
          <w:rFonts w:ascii="Arial" w:eastAsia="Times New Roman" w:hAnsi="Arial" w:cs="Arial"/>
          <w:kern w:val="0"/>
          <w:szCs w:val="24"/>
          <w:lang w:eastAsia="es-ES"/>
        </w:rPr>
        <w:t>Subsidio a trabajadores del servicio doméstico. Los aportes del presupuesto nacional de que trata la Ley 11 de 1988, para el subsidio en los aportes de los trabajadores del servicio doméstico, se girarán al fondo de solidaridad, en cuentas separadas, para que éste traslade el subsidio correspondiente a la entidad que haya seleccionado el trabajador.</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Régimen solidario de prima media con prestación definida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Normas generales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31.-Concepto</w:t>
      </w:r>
      <w:r w:rsidRPr="00186F49">
        <w:rPr>
          <w:rFonts w:ascii="Arial" w:eastAsia="Times New Roman" w:hAnsi="Arial" w:cs="Arial"/>
          <w:kern w:val="0"/>
          <w:szCs w:val="24"/>
          <w:lang w:eastAsia="es-ES"/>
        </w:rPr>
        <w:t xml:space="preserve">. El régimen de prima media con prestación definida es aquél mediante el cual los afiliados o sus beneficiarios obtienen </w:t>
      </w:r>
      <w:proofErr w:type="gramStart"/>
      <w:r w:rsidRPr="00186F49">
        <w:rPr>
          <w:rFonts w:ascii="Arial" w:eastAsia="Times New Roman" w:hAnsi="Arial" w:cs="Arial"/>
          <w:kern w:val="0"/>
          <w:szCs w:val="24"/>
          <w:lang w:eastAsia="es-ES"/>
        </w:rPr>
        <w:t>una pensión de vejez, de invalidez o de sobrevivientes, o una indemnización, previamente definidas</w:t>
      </w:r>
      <w:proofErr w:type="gramEnd"/>
      <w:r w:rsidRPr="00186F49">
        <w:rPr>
          <w:rFonts w:ascii="Arial" w:eastAsia="Times New Roman" w:hAnsi="Arial" w:cs="Arial"/>
          <w:kern w:val="0"/>
          <w:szCs w:val="24"/>
          <w:lang w:eastAsia="es-ES"/>
        </w:rPr>
        <w:t>, de acuerdo con lo previsto en el presente título.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Serán aplicables a este régimen las disposiciones vigentes para los seguros de invalidez, vejez y muerte a cargo del Instituto de Seguros Sociales, con las adiciones, modificaciones y excepciones contenidas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32.-Características</w:t>
      </w:r>
      <w:r w:rsidRPr="00186F49">
        <w:rPr>
          <w:rFonts w:ascii="Arial" w:eastAsia="Times New Roman" w:hAnsi="Arial" w:cs="Arial"/>
          <w:kern w:val="0"/>
          <w:szCs w:val="24"/>
          <w:lang w:eastAsia="es-ES"/>
        </w:rPr>
        <w:t>. El régimen de prima media con prestación definida tendrá las siguientes características: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Es un régimen solidario de prestación definida;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b) Los aportes de los afiliados y sus rendimientos, constituyen un fondo común </w:t>
      </w:r>
      <w:r w:rsidRPr="00186F49">
        <w:rPr>
          <w:rFonts w:ascii="Arial" w:eastAsia="Times New Roman" w:hAnsi="Arial" w:cs="Arial"/>
          <w:kern w:val="0"/>
          <w:szCs w:val="24"/>
          <w:u w:val="single"/>
          <w:lang w:eastAsia="es-ES"/>
        </w:rPr>
        <w:t>de naturaleza pública</w:t>
      </w:r>
      <w:r w:rsidRPr="00186F49">
        <w:rPr>
          <w:rFonts w:ascii="Arial" w:eastAsia="Times New Roman" w:hAnsi="Arial" w:cs="Arial"/>
          <w:kern w:val="0"/>
          <w:szCs w:val="24"/>
          <w:lang w:eastAsia="es-ES"/>
        </w:rPr>
        <w:t>, que garantiza el pago de las prestaciones de quienes tengan la calidad de pensionados en cada vigencia, los respectivos gastos de administración y la constitución de reservas de acuerdo con lo dispuesto en la presente ley,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Aparte subrayado declarado CONDICIONALMENTE EXEQUIBLE por la Corte Constitucional, mediante Sentencia</w:t>
      </w:r>
      <w:r w:rsidRPr="00186F49">
        <w:rPr>
          <w:rFonts w:ascii="Arial" w:eastAsia="Times New Roman" w:hAnsi="Arial" w:cs="Arial"/>
          <w:kern w:val="0"/>
          <w:szCs w:val="24"/>
          <w:lang w:eastAsia="es-ES"/>
        </w:rPr>
        <w:t xml:space="preserve"> C-378 </w:t>
      </w:r>
      <w:r w:rsidRPr="00186F49">
        <w:rPr>
          <w:rFonts w:ascii="Arial" w:eastAsia="Times New Roman" w:hAnsi="Arial" w:cs="Arial"/>
          <w:b/>
          <w:bCs/>
          <w:kern w:val="0"/>
          <w:szCs w:val="24"/>
          <w:lang w:eastAsia="es-ES"/>
        </w:rPr>
        <w:t>de 1998</w:t>
      </w:r>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El Estado garantiza el pago de los beneficios a que se hacen acreedores los afiliados.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vejez</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5" w:name="BM33"/>
      <w:r w:rsidRPr="00186F49">
        <w:rPr>
          <w:rFonts w:ascii="Arial" w:eastAsia="Times New Roman" w:hAnsi="Arial" w:cs="Arial"/>
          <w:b/>
          <w:bCs/>
          <w:kern w:val="0"/>
          <w:szCs w:val="24"/>
          <w:lang w:eastAsia="es-ES"/>
        </w:rPr>
        <w:t> </w:t>
      </w:r>
      <w:bookmarkEnd w:id="15"/>
      <w:r w:rsidRPr="00186F49">
        <w:rPr>
          <w:rFonts w:ascii="Arial" w:eastAsia="Times New Roman" w:hAnsi="Arial" w:cs="Arial"/>
          <w:b/>
          <w:bCs/>
          <w:kern w:val="0"/>
          <w:szCs w:val="24"/>
          <w:lang w:eastAsia="es-ES"/>
        </w:rPr>
        <w:t xml:space="preserve">33.- </w:t>
      </w:r>
      <w:hyperlink r:id="rId52" w:anchor="9" w:history="1">
        <w:r w:rsidRPr="00186F49">
          <w:rPr>
            <w:rFonts w:ascii="Arial" w:eastAsia="Times New Roman" w:hAnsi="Arial" w:cs="Arial"/>
            <w:color w:val="0000FF"/>
            <w:kern w:val="0"/>
            <w:szCs w:val="24"/>
            <w:u w:val="single"/>
            <w:lang w:eastAsia="es-ES"/>
          </w:rPr>
          <w:t>Modificado por el art. 9, Ley 797 de 2003</w:t>
        </w:r>
      </w:hyperlink>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Requisitos para obtener la pensión de vejez. Para tener derecho a la pensión de vejez, el afiliado deberá reunir las siguientes condiciones: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Haber cumplido cincuenta y cinco (55) años de edad si es mujer, o sesenta (60) años de edad si es hombre.</w:t>
      </w:r>
    </w:p>
    <w:p w:rsidR="00186F49" w:rsidRPr="00186F49" w:rsidRDefault="00186F49" w:rsidP="00186F49">
      <w:pPr>
        <w:numPr>
          <w:ilvl w:val="0"/>
          <w:numId w:val="1"/>
        </w:num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Haber cotizado un mínimo de mil (1.000) semanas en cualquier tiempo.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53" w:anchor="1" w:history="1">
        <w:r w:rsidRPr="00186F49">
          <w:rPr>
            <w:rFonts w:ascii="Arial" w:eastAsia="Times New Roman" w:hAnsi="Arial" w:cs="Arial"/>
            <w:color w:val="0000FF"/>
            <w:kern w:val="0"/>
            <w:szCs w:val="24"/>
            <w:u w:val="single"/>
            <w:lang w:eastAsia="es-ES"/>
          </w:rPr>
          <w:t xml:space="preserve">Ver articulo 7 Ley 71 de 1988.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 </w:t>
      </w:r>
      <w:hyperlink r:id="rId54" w:anchor="0" w:history="1">
        <w:r w:rsidRPr="00186F49">
          <w:rPr>
            <w:rFonts w:ascii="Arial" w:eastAsia="Times New Roman" w:hAnsi="Arial" w:cs="Arial"/>
            <w:color w:val="0000FF"/>
            <w:kern w:val="0"/>
            <w:szCs w:val="24"/>
            <w:u w:val="single"/>
            <w:lang w:eastAsia="es-ES"/>
          </w:rPr>
          <w:t>Reglamentado parcialmente por el Decreto Nacional 1887 de 1994</w:t>
        </w:r>
      </w:hyperlink>
      <w:r w:rsidRPr="00186F49">
        <w:rPr>
          <w:rFonts w:ascii="Arial" w:eastAsia="Times New Roman" w:hAnsi="Arial" w:cs="Arial"/>
          <w:kern w:val="0"/>
          <w:szCs w:val="24"/>
          <w:lang w:eastAsia="es-ES"/>
        </w:rPr>
        <w:t>. Para efectos del cómputo de las semanas a que se refiere el presente artículo, y en concordancia con lo establecido en el literal f) del artículo 13 se tendrá en cuenta: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El número de semanas cotizadas en </w:t>
      </w:r>
      <w:proofErr w:type="gramStart"/>
      <w:r w:rsidRPr="00186F49">
        <w:rPr>
          <w:rFonts w:ascii="Arial" w:eastAsia="Times New Roman" w:hAnsi="Arial" w:cs="Arial"/>
          <w:kern w:val="0"/>
          <w:szCs w:val="24"/>
          <w:lang w:eastAsia="es-ES"/>
        </w:rPr>
        <w:t>cualesquiera</w:t>
      </w:r>
      <w:proofErr w:type="gramEnd"/>
      <w:r w:rsidRPr="00186F49">
        <w:rPr>
          <w:rFonts w:ascii="Arial" w:eastAsia="Times New Roman" w:hAnsi="Arial" w:cs="Arial"/>
          <w:kern w:val="0"/>
          <w:szCs w:val="24"/>
          <w:lang w:eastAsia="es-ES"/>
        </w:rPr>
        <w:t xml:space="preserve"> de los dos regímenes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b)  El tiempo de servicio como servidores públicos remunerados;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c)  El tiempo de servicio como trabajadores vinculados con empleadores que tienen a su cargo el reconocimiento y pago de la pensión, siempre que la vinculación laboral se encuentre vigente o se inicie con posterioridad a la vigencia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El número de semanas cotizadas a cajas previsionales del sector privado que tuviesen a su cargo el reconocimiento y pago de la pensión,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   </w:t>
      </w:r>
      <w:hyperlink r:id="rId55" w:anchor="1" w:history="1">
        <w:proofErr w:type="spellStart"/>
        <w:r w:rsidRPr="00186F49">
          <w:rPr>
            <w:rFonts w:ascii="Arial" w:eastAsia="Times New Roman" w:hAnsi="Arial" w:cs="Arial"/>
            <w:color w:val="0000FF"/>
            <w:kern w:val="0"/>
            <w:szCs w:val="24"/>
            <w:u w:val="single"/>
            <w:lang w:eastAsia="es-ES"/>
          </w:rPr>
          <w:t>Derógase</w:t>
        </w:r>
        <w:proofErr w:type="spellEnd"/>
        <w:r w:rsidRPr="00186F49">
          <w:rPr>
            <w:rFonts w:ascii="Arial" w:eastAsia="Times New Roman" w:hAnsi="Arial" w:cs="Arial"/>
            <w:color w:val="0000FF"/>
            <w:kern w:val="0"/>
            <w:szCs w:val="24"/>
            <w:u w:val="single"/>
            <w:lang w:eastAsia="es-ES"/>
          </w:rPr>
          <w:t xml:space="preserve"> el parágrafo del artículo séptimo (7º) de la Ley 71 de 1988.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los casos previstos en los literales c) y d), el cómputo será procedente siempre y cuando el empleador o la caja, según el caso, trasladen, con base en el cálculo actuarial, la suma correspondiente del trabajador que se afilie a satisfacción de la entidad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56" w:anchor="1" w:history="1">
        <w:r w:rsidRPr="00186F49">
          <w:rPr>
            <w:rFonts w:ascii="Arial" w:eastAsia="Times New Roman" w:hAnsi="Arial" w:cs="Arial"/>
            <w:color w:val="0000FF"/>
            <w:kern w:val="0"/>
            <w:szCs w:val="24"/>
            <w:u w:val="single"/>
            <w:lang w:eastAsia="es-ES"/>
          </w:rPr>
          <w:t>Ver el art. 7, Decreto Nacional 510 de 2003</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 xml:space="preserve">Para los efectos de las disposiciones contenidas en la presente ley, se entiende por semana cotizada el período de siete (7) días calendario. La facturación y el cobro de los aportes se </w:t>
      </w:r>
      <w:proofErr w:type="gramStart"/>
      <w:r w:rsidRPr="00186F49">
        <w:rPr>
          <w:rFonts w:ascii="Arial" w:eastAsia="Times New Roman" w:hAnsi="Arial" w:cs="Arial"/>
          <w:kern w:val="0"/>
          <w:szCs w:val="24"/>
          <w:lang w:eastAsia="es-ES"/>
        </w:rPr>
        <w:t>hará</w:t>
      </w:r>
      <w:proofErr w:type="gramEnd"/>
      <w:r w:rsidRPr="00186F49">
        <w:rPr>
          <w:rFonts w:ascii="Arial" w:eastAsia="Times New Roman" w:hAnsi="Arial" w:cs="Arial"/>
          <w:kern w:val="0"/>
          <w:szCs w:val="24"/>
          <w:lang w:eastAsia="es-ES"/>
        </w:rPr>
        <w:t xml:space="preserve"> sobre el número de días cotizados en cada período.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No obstante el requisito establecido en el numeral dos (2) de este artículo, cuando el trabajador lo estime conveniente, podrá seguir trabajando y cotizando durante 5 años más, ya sea para aumentar el monto de la pensión o para completar los requisitos si fuere el caso.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A partir del primero (1º) de enero del año dos mil catorce (2014) las edades para acceder a la pensión de vejez se reajustarán a cincuenta y siete (57) años si es mujer y sesenta y dos (62) años si es hombre.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La expresión "madre" que hace parte del inciso 2° del parágrafo 4º del artículo 33 de la Ley 100 de 1993, modificado por el artículo 9º de la Ley 797 de 2003, fue declarado EXEQUIBLE por la Corte Constitucional, mediante </w:t>
      </w:r>
      <w:hyperlink r:id="rId57" w:anchor="0" w:history="1">
        <w:r w:rsidRPr="00186F49">
          <w:rPr>
            <w:rFonts w:ascii="Arial" w:eastAsia="Times New Roman" w:hAnsi="Arial" w:cs="Arial"/>
            <w:color w:val="0000FF"/>
            <w:kern w:val="0"/>
            <w:szCs w:val="24"/>
            <w:u w:val="single"/>
            <w:lang w:eastAsia="es-ES"/>
          </w:rPr>
          <w:t>Sentencia C-989 de 2006</w:t>
        </w:r>
      </w:hyperlink>
      <w:r w:rsidRPr="00186F49">
        <w:rPr>
          <w:rFonts w:ascii="Arial" w:eastAsia="Times New Roman" w:hAnsi="Arial" w:cs="Arial"/>
          <w:b/>
          <w:bCs/>
          <w:kern w:val="0"/>
          <w:szCs w:val="24"/>
          <w:lang w:eastAsia="es-ES"/>
        </w:rPr>
        <w:t xml:space="preserve">, en el entendido, que el beneficio </w:t>
      </w:r>
      <w:proofErr w:type="spellStart"/>
      <w:r w:rsidRPr="00186F49">
        <w:rPr>
          <w:rFonts w:ascii="Arial" w:eastAsia="Times New Roman" w:hAnsi="Arial" w:cs="Arial"/>
          <w:b/>
          <w:bCs/>
          <w:kern w:val="0"/>
          <w:szCs w:val="24"/>
          <w:lang w:eastAsia="es-ES"/>
        </w:rPr>
        <w:t>pensional</w:t>
      </w:r>
      <w:proofErr w:type="spellEnd"/>
      <w:r w:rsidRPr="00186F49">
        <w:rPr>
          <w:rFonts w:ascii="Arial" w:eastAsia="Times New Roman" w:hAnsi="Arial" w:cs="Arial"/>
          <w:b/>
          <w:bCs/>
          <w:kern w:val="0"/>
          <w:szCs w:val="24"/>
          <w:lang w:eastAsia="es-ES"/>
        </w:rPr>
        <w:t xml:space="preserve"> previsto en dicho artículo se hará extensivo al padre cabeza de familia de hijos discapacitados y que dependan económicamente de él</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5º-</w:t>
      </w:r>
      <w:r w:rsidRPr="00186F49">
        <w:rPr>
          <w:rFonts w:ascii="Arial" w:eastAsia="Times New Roman" w:hAnsi="Arial" w:cs="Arial"/>
          <w:kern w:val="0"/>
          <w:szCs w:val="24"/>
          <w:lang w:eastAsia="es-ES"/>
        </w:rPr>
        <w:t>En el año 2013 la asociación nacional de actuarios, o la entidad que haga sus veces, o una comisión de actuarios nombrados por las varias asociaciones nacionales de actuarios si las hubiere, verificará, con base en los registros demográficos de la época, la evolución de la expectativa de vida de los colombianos, y en consecuencia con el resultado podrá recomendar la inaplicabilidad del aumento de la edad previsto en este artículo, caso en el cual dicho incremento se aplazará hasta que el Congreso dicte una nueva ley sobre la materia.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w:t>
      </w:r>
      <w:bookmarkStart w:id="16" w:name="BM34"/>
      <w:r w:rsidRPr="00186F49">
        <w:rPr>
          <w:rFonts w:ascii="Arial" w:eastAsia="Times New Roman" w:hAnsi="Arial" w:cs="Arial"/>
          <w:b/>
          <w:bCs/>
          <w:kern w:val="0"/>
          <w:szCs w:val="24"/>
          <w:lang w:eastAsia="es-ES"/>
        </w:rPr>
        <w:t> </w:t>
      </w:r>
      <w:bookmarkEnd w:id="16"/>
      <w:r w:rsidRPr="00186F49">
        <w:rPr>
          <w:rFonts w:ascii="Arial" w:eastAsia="Times New Roman" w:hAnsi="Arial" w:cs="Arial"/>
          <w:b/>
          <w:bCs/>
          <w:kern w:val="0"/>
          <w:szCs w:val="24"/>
          <w:lang w:eastAsia="es-ES"/>
        </w:rPr>
        <w:t>34.-</w:t>
      </w:r>
      <w:r w:rsidRPr="00186F49">
        <w:rPr>
          <w:rFonts w:ascii="Arial" w:eastAsia="Times New Roman" w:hAnsi="Arial" w:cs="Arial"/>
          <w:kern w:val="0"/>
          <w:szCs w:val="24"/>
          <w:lang w:eastAsia="es-ES"/>
        </w:rPr>
        <w:t xml:space="preserve"> </w:t>
      </w:r>
      <w:hyperlink r:id="rId58" w:anchor="10" w:history="1">
        <w:r w:rsidRPr="00186F49">
          <w:rPr>
            <w:rFonts w:ascii="Arial" w:eastAsia="Times New Roman" w:hAnsi="Arial" w:cs="Arial"/>
            <w:color w:val="0000FF"/>
            <w:kern w:val="0"/>
            <w:szCs w:val="24"/>
            <w:u w:val="single"/>
            <w:lang w:eastAsia="es-ES"/>
          </w:rPr>
          <w:t>Modificado por el art. 10, Ley 797 de 2003</w:t>
        </w:r>
      </w:hyperlink>
      <w:r w:rsidRPr="00186F49">
        <w:rPr>
          <w:rFonts w:ascii="Arial" w:eastAsia="Times New Roman" w:hAnsi="Arial" w:cs="Arial"/>
          <w:b/>
          <w:bCs/>
          <w:kern w:val="0"/>
          <w:szCs w:val="24"/>
          <w:lang w:eastAsia="es-ES"/>
        </w:rPr>
        <w:t xml:space="preserve"> Monto de la pensión de vejez.</w:t>
      </w:r>
      <w:r w:rsidRPr="00186F49">
        <w:rPr>
          <w:rFonts w:ascii="Arial" w:eastAsia="Times New Roman" w:hAnsi="Arial" w:cs="Arial"/>
          <w:kern w:val="0"/>
          <w:szCs w:val="24"/>
          <w:lang w:eastAsia="es-ES"/>
        </w:rPr>
        <w:t xml:space="preserve"> El monto mensual de la pensión de vejez, correspondiente a las primeras 1.000 semanas de cotización, será equivalente al 65% del ingreso base de liquidación. Por cada 50 semanas adicionales a las 1.000 hasta las 1.200 semanas, este porcentaje se incrementará en un 2%, llegando a este tiempo de cotización el 73% del ingreso base de liquidación. Por cada 50 semanas adicionales a las 1.200 hasta las 1.400, este porcentaje se incrementará en 3% en lugar del 2%, hasta completar un monto máximo del 85% del ingreso base de liquidación.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valor total de la pensión no podrá ser superior al 85% del ingreso base de liquidación, ni inferior a la pensión mínima de que trata el artículo siguiente.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7" w:name="BM35"/>
      <w:r w:rsidRPr="00186F49">
        <w:rPr>
          <w:rFonts w:ascii="Arial" w:eastAsia="Times New Roman" w:hAnsi="Arial" w:cs="Arial"/>
          <w:b/>
          <w:bCs/>
          <w:kern w:val="0"/>
          <w:szCs w:val="24"/>
          <w:lang w:eastAsia="es-ES"/>
        </w:rPr>
        <w:t> </w:t>
      </w:r>
      <w:bookmarkEnd w:id="17"/>
      <w:r w:rsidRPr="00186F49">
        <w:rPr>
          <w:rFonts w:ascii="Arial" w:eastAsia="Times New Roman" w:hAnsi="Arial" w:cs="Arial"/>
          <w:b/>
          <w:bCs/>
          <w:kern w:val="0"/>
          <w:szCs w:val="24"/>
          <w:lang w:eastAsia="es-ES"/>
        </w:rPr>
        <w:t>35.- Pensión mínima de vejez o jubilación</w:t>
      </w:r>
      <w:r w:rsidRPr="00186F49">
        <w:rPr>
          <w:rFonts w:ascii="Arial" w:eastAsia="Times New Roman" w:hAnsi="Arial" w:cs="Arial"/>
          <w:kern w:val="0"/>
          <w:szCs w:val="24"/>
          <w:lang w:eastAsia="es-ES"/>
        </w:rPr>
        <w:t xml:space="preserve">.   </w:t>
      </w:r>
      <w:hyperlink r:id="rId59"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El monto mensual de la pensión mínima de vejez o jubilación no podrá ser inferior al valor del salario mínimo legal mensual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Las pensiones de jubilación reconocidas con posterioridad a la vigencia de la Ley 4ª de 1992 no estarán sujetas al límite establecido por el artículo 2º de la Ley 71 de 1988, que por esta ley se modifica, </w:t>
      </w:r>
      <w:r w:rsidRPr="00186F49">
        <w:rPr>
          <w:rFonts w:ascii="Arial" w:eastAsia="Times New Roman" w:hAnsi="Arial" w:cs="Arial"/>
          <w:b/>
          <w:bCs/>
          <w:kern w:val="0"/>
          <w:szCs w:val="24"/>
          <w:lang w:eastAsia="es-ES"/>
        </w:rPr>
        <w:t xml:space="preserve">salvo en los regímenes e instituciones </w:t>
      </w:r>
      <w:proofErr w:type="spellStart"/>
      <w:r w:rsidRPr="00186F49">
        <w:rPr>
          <w:rFonts w:ascii="Arial" w:eastAsia="Times New Roman" w:hAnsi="Arial" w:cs="Arial"/>
          <w:b/>
          <w:bCs/>
          <w:kern w:val="0"/>
          <w:szCs w:val="24"/>
          <w:lang w:eastAsia="es-ES"/>
        </w:rPr>
        <w:t>excepcionadas</w:t>
      </w:r>
      <w:proofErr w:type="spellEnd"/>
      <w:r w:rsidRPr="00186F49">
        <w:rPr>
          <w:rFonts w:ascii="Arial" w:eastAsia="Times New Roman" w:hAnsi="Arial" w:cs="Arial"/>
          <w:b/>
          <w:bCs/>
          <w:kern w:val="0"/>
          <w:szCs w:val="24"/>
          <w:lang w:eastAsia="es-ES"/>
        </w:rPr>
        <w:t xml:space="preserve"> en el artículo 279 de esta ley</w:t>
      </w:r>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El texto en negrilla fue declarado INEXEQUIBLE por la Corte Constitucional, mediante Sentencia </w:t>
      </w:r>
      <w:r w:rsidRPr="00186F49">
        <w:rPr>
          <w:rFonts w:ascii="Arial" w:eastAsia="Times New Roman" w:hAnsi="Arial" w:cs="Arial"/>
          <w:kern w:val="0"/>
          <w:szCs w:val="24"/>
          <w:lang w:eastAsia="es-ES"/>
        </w:rPr>
        <w:t>C-89</w:t>
      </w:r>
      <w:r w:rsidRPr="00186F49">
        <w:rPr>
          <w:rFonts w:ascii="Arial" w:eastAsia="Times New Roman" w:hAnsi="Arial" w:cs="Arial"/>
          <w:b/>
          <w:bCs/>
          <w:kern w:val="0"/>
          <w:szCs w:val="24"/>
          <w:lang w:eastAsia="es-ES"/>
        </w:rPr>
        <w:t xml:space="preserve"> de 1997.</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8" w:name="BM36"/>
      <w:r w:rsidRPr="00186F49">
        <w:rPr>
          <w:rFonts w:ascii="Arial" w:eastAsia="Times New Roman" w:hAnsi="Arial" w:cs="Arial"/>
          <w:b/>
          <w:bCs/>
          <w:kern w:val="0"/>
          <w:szCs w:val="24"/>
          <w:lang w:eastAsia="es-ES"/>
        </w:rPr>
        <w:t> </w:t>
      </w:r>
      <w:bookmarkEnd w:id="18"/>
      <w:r w:rsidRPr="00186F49">
        <w:rPr>
          <w:rFonts w:ascii="Arial" w:eastAsia="Times New Roman" w:hAnsi="Arial" w:cs="Arial"/>
          <w:b/>
          <w:bCs/>
          <w:kern w:val="0"/>
          <w:szCs w:val="24"/>
          <w:lang w:eastAsia="es-ES"/>
        </w:rPr>
        <w:t>36.-</w:t>
      </w:r>
      <w:r w:rsidRPr="00186F49">
        <w:rPr>
          <w:rFonts w:ascii="Arial" w:eastAsia="Times New Roman" w:hAnsi="Arial" w:cs="Arial"/>
          <w:kern w:val="0"/>
          <w:szCs w:val="24"/>
          <w:lang w:eastAsia="es-ES"/>
        </w:rPr>
        <w:t xml:space="preserve"> </w:t>
      </w:r>
      <w:hyperlink r:id="rId60" w:anchor="1" w:history="1">
        <w:r w:rsidRPr="00186F49">
          <w:rPr>
            <w:rFonts w:ascii="Arial" w:eastAsia="Times New Roman" w:hAnsi="Arial" w:cs="Arial"/>
            <w:color w:val="0000FF"/>
            <w:kern w:val="0"/>
            <w:szCs w:val="24"/>
            <w:u w:val="single"/>
            <w:lang w:eastAsia="es-ES"/>
          </w:rPr>
          <w:t>Reglamentado por el Decreto Nacional 2527 de 2000</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Régimen de transición</w:t>
      </w:r>
      <w:r w:rsidRPr="00186F49">
        <w:rPr>
          <w:rFonts w:ascii="Arial" w:eastAsia="Times New Roman" w:hAnsi="Arial" w:cs="Arial"/>
          <w:kern w:val="0"/>
          <w:szCs w:val="24"/>
          <w:lang w:eastAsia="es-ES"/>
        </w:rPr>
        <w:t>. La edad para acceder a la pensión de vejez, continuará en cincuenta y cinco (55) años para las mujeres y sesenta (60) para los hombres, hasta el año 2014, fecha en la cual la edad se incrementará en dos años, es decir, será de 57 años para las mujeres y 62 para los hombres.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edad para acceder a la pensión de vejez, el tiempo de servicio o el número de semanas cotizadas, y el monto de la pensión de vejez de las personas que al momento de entrar en vigencia el sistema tengan treinta y cinco (35) o más años de edad si son mujeres o cuarenta (40) o más años de edad si son hombres, o quince (15) o más años de servicios cotizados, será la establecida en el régimen anterior al cual se encuentren afiliados. Las demás condiciones y requisitos aplicables a estas personas para acceder a la pensión de vejez, se regirán por las disposiciones contenidas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ingreso base para liquidar la pensión de vejez de las personas referidas en el inciso anterior que les faltare menos de diez (10) años para adquirir el derecho, será el promedio de lo devengado en el tiempo que les hiciere falta para ello, o el cotizado durante todo el tiempo si este fuere superior, actualizado anualmente con base en la variación del índice de precios al consumidor, según certificación que expida el DANE. </w:t>
      </w:r>
      <w:r w:rsidRPr="00186F49">
        <w:rPr>
          <w:rFonts w:ascii="Arial" w:eastAsia="Times New Roman" w:hAnsi="Arial" w:cs="Arial"/>
          <w:kern w:val="0"/>
          <w:szCs w:val="24"/>
          <w:u w:val="single"/>
          <w:lang w:eastAsia="es-ES"/>
        </w:rPr>
        <w:t xml:space="preserve">Sin embargo, cuando el tiempo que les hiciere falta fuese igual o inferior a dos (2) años a la entrada en vigencia de la presente ley, el ingreso base para liquidar la pensión será el promedio de lo devengado en los dos (2) últimos años, para los trabajadores </w:t>
      </w:r>
      <w:r w:rsidRPr="00186F49">
        <w:rPr>
          <w:rFonts w:ascii="Arial" w:eastAsia="Times New Roman" w:hAnsi="Arial" w:cs="Arial"/>
          <w:kern w:val="0"/>
          <w:szCs w:val="24"/>
          <w:u w:val="single"/>
          <w:lang w:eastAsia="es-ES"/>
        </w:rPr>
        <w:lastRenderedPageBreak/>
        <w:t>del sector privado y de un (1) año para los servidores públicos</w:t>
      </w:r>
      <w:r w:rsidRPr="00186F49">
        <w:rPr>
          <w:rFonts w:ascii="Arial" w:eastAsia="Times New Roman" w:hAnsi="Arial" w:cs="Arial"/>
          <w:b/>
          <w:bCs/>
          <w:kern w:val="0"/>
          <w:szCs w:val="24"/>
          <w:lang w:eastAsia="es-ES"/>
        </w:rPr>
        <w:t xml:space="preserve">. El texto subrayado fue declarado INEXEQUIBLE por la Corte Constitucional mediante Sentencia </w:t>
      </w:r>
      <w:hyperlink r:id="rId61" w:anchor="0" w:history="1">
        <w:r w:rsidRPr="00186F49">
          <w:rPr>
            <w:rFonts w:ascii="Arial" w:eastAsia="Times New Roman" w:hAnsi="Arial" w:cs="Arial"/>
            <w:color w:val="0000FF"/>
            <w:kern w:val="0"/>
            <w:szCs w:val="24"/>
            <w:u w:val="single"/>
            <w:lang w:eastAsia="es-ES"/>
          </w:rPr>
          <w:t>C-168</w:t>
        </w:r>
      </w:hyperlink>
      <w:r w:rsidRPr="00186F49">
        <w:rPr>
          <w:rFonts w:ascii="Arial" w:eastAsia="Times New Roman" w:hAnsi="Arial" w:cs="Arial"/>
          <w:b/>
          <w:bCs/>
          <w:kern w:val="0"/>
          <w:szCs w:val="24"/>
          <w:lang w:eastAsia="es-ES"/>
        </w:rPr>
        <w:t xml:space="preserve"> de 1995.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 Inciso declarado CONDICIONALMENTE EXEQUIBLE por la Corte Constitucional, mediante Sentencia </w:t>
      </w:r>
      <w:r w:rsidRPr="00186F49">
        <w:rPr>
          <w:rFonts w:ascii="Arial" w:eastAsia="Times New Roman" w:hAnsi="Arial" w:cs="Arial"/>
          <w:kern w:val="0"/>
          <w:szCs w:val="24"/>
          <w:lang w:eastAsia="es-ES"/>
        </w:rPr>
        <w:t xml:space="preserve">C-789 </w:t>
      </w:r>
      <w:r w:rsidRPr="00186F49">
        <w:rPr>
          <w:rFonts w:ascii="Arial" w:eastAsia="Times New Roman" w:hAnsi="Arial" w:cs="Arial"/>
          <w:b/>
          <w:bCs/>
          <w:kern w:val="0"/>
          <w:szCs w:val="24"/>
          <w:lang w:eastAsia="es-ES"/>
        </w:rPr>
        <w:t>de 2002</w:t>
      </w:r>
      <w:r w:rsidRPr="00186F49">
        <w:rPr>
          <w:rFonts w:ascii="Arial" w:eastAsia="Times New Roman" w:hAnsi="Arial" w:cs="Arial"/>
          <w:kern w:val="0"/>
          <w:szCs w:val="24"/>
          <w:lang w:eastAsia="es-ES"/>
        </w:rPr>
        <w:t>. Lo dispuesto en el presente artículo para las personas que al momento de entrar en vigencia el régimen tengan treinta y cinco (35) o más años de edad si son mujeres o cuarenta (40) o más años de edad si son hombres, no será aplicable cuando estas personas voluntariamente se acojan al régimen de ahorro individual con solidaridad, caso en el cual se sujetarán a todas las condiciones previstas para dicho régimen.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Inciso declarado CONDICIONALMENTE EXEQUIBLE por la Corte Constitucional, mediante Sentencia</w:t>
      </w:r>
      <w:r w:rsidRPr="00186F49">
        <w:rPr>
          <w:rFonts w:ascii="Arial" w:eastAsia="Times New Roman" w:hAnsi="Arial" w:cs="Arial"/>
          <w:kern w:val="0"/>
          <w:szCs w:val="24"/>
          <w:lang w:eastAsia="es-ES"/>
        </w:rPr>
        <w:t xml:space="preserve"> C-789 </w:t>
      </w:r>
      <w:r w:rsidRPr="00186F49">
        <w:rPr>
          <w:rFonts w:ascii="Arial" w:eastAsia="Times New Roman" w:hAnsi="Arial" w:cs="Arial"/>
          <w:b/>
          <w:bCs/>
          <w:kern w:val="0"/>
          <w:szCs w:val="24"/>
          <w:lang w:eastAsia="es-ES"/>
        </w:rPr>
        <w:t>de 2002</w:t>
      </w:r>
      <w:r w:rsidRPr="00186F49">
        <w:rPr>
          <w:rFonts w:ascii="Arial" w:eastAsia="Times New Roman" w:hAnsi="Arial" w:cs="Arial"/>
          <w:kern w:val="0"/>
          <w:szCs w:val="24"/>
          <w:lang w:eastAsia="es-ES"/>
        </w:rPr>
        <w:t>. Tampoco será aplicable para quienes habiendo escogido el régimen de ahorro individual con solidaridad decidan cambiarse al de prima media con prestación definida.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Quienes a la fecha de vigencia de la presente ley hubiesen cumplido los requisitos para acceder a la pensión de jubilación o de vejez conforme a normas favorables anteriores, aun cuando no se hubiese efectuado el reconocimiento, tendrán derecho, en desarrollo de los derechos adquiridos, a que se les reconozca y liquide la pensión en las condiciones de favorabilidad vigentes al momento en que cumplieron tales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62" w:anchor="4" w:history="1">
        <w:r w:rsidRPr="00186F49">
          <w:rPr>
            <w:rFonts w:ascii="Arial" w:eastAsia="Times New Roman" w:hAnsi="Arial" w:cs="Arial"/>
            <w:color w:val="0000FF"/>
            <w:kern w:val="0"/>
            <w:szCs w:val="24"/>
            <w:u w:val="single"/>
            <w:lang w:eastAsia="es-ES"/>
          </w:rPr>
          <w:t>Ver el Parágrafo Transitorio 4, Acto Legislativo 01 de 2005</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Para efectos del reconocimiento de la pensión de vejez de que trata el inciso primero (1º) del presente artículo se tendrá en cuenta la suma de las semanas cotizadas con anterioridad a la vigencia de la presente ley, al Instituto de Seguros Sociales, a las cajas, fondos o entidades de seguridad social del sector público o privado, o el tiempo de servicio como servidores públicos cualquiera sea el número de semanas cotizadas o tiempo de servicio.</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hyperlink r:id="rId63" w:anchor="1" w:history="1">
        <w:r w:rsidRPr="00186F49">
          <w:rPr>
            <w:rFonts w:ascii="Arial" w:eastAsia="Times New Roman" w:hAnsi="Arial" w:cs="Arial"/>
            <w:color w:val="0000FF"/>
            <w:kern w:val="0"/>
            <w:szCs w:val="24"/>
            <w:u w:val="single"/>
            <w:lang w:eastAsia="es-ES"/>
          </w:rPr>
          <w:t>Ver el Decreto Nacional 691 de 1994</w:t>
        </w:r>
      </w:hyperlink>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 </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b/>
          <w:bCs/>
          <w:kern w:val="0"/>
          <w:szCs w:val="24"/>
          <w:lang w:eastAsia="es-ES"/>
        </w:rPr>
        <w:t xml:space="preserve">NOTA: El art. 36 fue modificado parcialmente por el art. 18 de la Ley 797 de 2003 y 4 de la 860 de 2003, artículos que posteriormente fueron declarados INEXEQUIBLES por la Corte Constitucional mediante Sentencias </w:t>
      </w:r>
      <w:hyperlink r:id="rId64" w:anchor="0" w:history="1">
        <w:r w:rsidRPr="00186F49">
          <w:rPr>
            <w:rFonts w:ascii="Arial" w:eastAsia="Times New Roman" w:hAnsi="Arial" w:cs="Arial"/>
            <w:color w:val="0000FF"/>
            <w:kern w:val="0"/>
            <w:szCs w:val="24"/>
            <w:u w:val="single"/>
            <w:lang w:eastAsia="es-ES"/>
          </w:rPr>
          <w:t>C-1056</w:t>
        </w:r>
      </w:hyperlink>
      <w:r w:rsidRPr="00186F49">
        <w:rPr>
          <w:rFonts w:ascii="Arial" w:eastAsia="Times New Roman" w:hAnsi="Arial" w:cs="Arial"/>
          <w:b/>
          <w:bCs/>
          <w:kern w:val="0"/>
          <w:szCs w:val="24"/>
          <w:lang w:eastAsia="es-ES"/>
        </w:rPr>
        <w:t xml:space="preserve"> de 2003 y </w:t>
      </w:r>
      <w:hyperlink r:id="rId65" w:anchor="0" w:history="1">
        <w:r w:rsidRPr="00186F49">
          <w:rPr>
            <w:rFonts w:ascii="Arial" w:eastAsia="Times New Roman" w:hAnsi="Arial" w:cs="Arial"/>
            <w:color w:val="0000FF"/>
            <w:kern w:val="0"/>
            <w:szCs w:val="24"/>
            <w:u w:val="single"/>
            <w:lang w:eastAsia="es-ES"/>
          </w:rPr>
          <w:t>754</w:t>
        </w:r>
      </w:hyperlink>
      <w:r w:rsidRPr="00186F49">
        <w:rPr>
          <w:rFonts w:ascii="Arial" w:eastAsia="Times New Roman" w:hAnsi="Arial" w:cs="Arial"/>
          <w:b/>
          <w:bCs/>
          <w:kern w:val="0"/>
          <w:szCs w:val="24"/>
          <w:lang w:eastAsia="es-ES"/>
        </w:rPr>
        <w:t xml:space="preserve"> de 2004, respectivamente.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37.- </w:t>
      </w:r>
      <w:hyperlink r:id="rId66" w:anchor="1" w:history="1">
        <w:r w:rsidRPr="00186F49">
          <w:rPr>
            <w:rFonts w:ascii="Arial" w:eastAsia="Times New Roman" w:hAnsi="Arial" w:cs="Arial"/>
            <w:color w:val="0000FF"/>
            <w:kern w:val="0"/>
            <w:szCs w:val="24"/>
            <w:u w:val="single"/>
            <w:lang w:eastAsia="es-ES"/>
          </w:rPr>
          <w:t>Reglamentado por el Decreto Nacional 1730 de 2001</w:t>
        </w:r>
      </w:hyperlink>
      <w:r w:rsidRPr="00186F49">
        <w:rPr>
          <w:rFonts w:ascii="Arial" w:eastAsia="Times New Roman" w:hAnsi="Arial" w:cs="Arial"/>
          <w:b/>
          <w:bCs/>
          <w:kern w:val="0"/>
          <w:szCs w:val="24"/>
          <w:lang w:eastAsia="es-ES"/>
        </w:rPr>
        <w:t xml:space="preserve"> Indemnización sustitutiva de la pensión de vejez</w:t>
      </w:r>
      <w:r w:rsidRPr="00186F49">
        <w:rPr>
          <w:rFonts w:ascii="Arial" w:eastAsia="Times New Roman" w:hAnsi="Arial" w:cs="Arial"/>
          <w:kern w:val="0"/>
          <w:szCs w:val="24"/>
          <w:lang w:eastAsia="es-ES"/>
        </w:rPr>
        <w:t>. Las personas que habiendo cumplido la edad para obtener la pensión de vejez no hayan cotizado el mínimo de semanas exigidas, y declaren su imposibilidad de continuar cotizando, tendrán derecho a recibir, en sustitución, una indemnización equivalente a un salario base de liquidación promedio semanal multiplicado por el número de semanas cotizadas; al resultado así obtenido se le aplica el promedio ponderado de los porcentajes sobre los cuales haya cotizado el afiliado.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invalidez por riesgo común</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hyperlink r:id="rId67" w:anchor="19" w:history="1">
        <w:r w:rsidRPr="00186F49">
          <w:rPr>
            <w:rFonts w:ascii="Arial" w:eastAsia="Times New Roman" w:hAnsi="Arial" w:cs="Arial"/>
            <w:color w:val="0000FF"/>
            <w:kern w:val="0"/>
            <w:szCs w:val="24"/>
            <w:u w:val="single"/>
            <w:lang w:eastAsia="es-ES"/>
          </w:rPr>
          <w:t>Ver el art. 19, Ley 1151 de 2007</w:t>
        </w:r>
      </w:hyperlink>
      <w:r w:rsidRPr="00186F49">
        <w:rPr>
          <w:rFonts w:ascii="Arial" w:eastAsia="Times New Roman" w:hAnsi="Arial" w:cs="Arial"/>
          <w:kern w:val="0"/>
          <w:szCs w:val="24"/>
          <w:lang w:eastAsia="es-ES"/>
        </w:rPr>
        <w:t xml:space="preserve"> , </w:t>
      </w:r>
      <w:hyperlink r:id="rId68" w:anchor="0" w:history="1">
        <w:r w:rsidRPr="00186F49">
          <w:rPr>
            <w:rFonts w:ascii="Arial" w:eastAsia="Times New Roman" w:hAnsi="Arial" w:cs="Arial"/>
            <w:color w:val="0000FF"/>
            <w:kern w:val="0"/>
            <w:szCs w:val="24"/>
            <w:u w:val="single"/>
            <w:lang w:eastAsia="es-ES"/>
          </w:rPr>
          <w:t>Ver el Decreto Nacional 1355 de 2008</w:t>
        </w:r>
      </w:hyperlink>
      <w:r w:rsidRPr="00186F49">
        <w:rPr>
          <w:rFonts w:ascii="Arial" w:eastAsia="Times New Roman" w:hAnsi="Arial" w:cs="Arial"/>
          <w:b/>
          <w:bCs/>
          <w:kern w:val="0"/>
          <w:szCs w:val="24"/>
          <w:lang w:eastAsia="es-ES"/>
        </w:rPr>
        <w:t xml:space="preserve"> </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b/>
          <w:bCs/>
          <w:kern w:val="0"/>
          <w:szCs w:val="24"/>
          <w:lang w:eastAsia="es-ES"/>
        </w:rPr>
        <w:t>ARTICULO. 38.-Estado de invalidez</w:t>
      </w:r>
      <w:r w:rsidRPr="00186F49">
        <w:rPr>
          <w:rFonts w:ascii="Arial" w:eastAsia="Times New Roman" w:hAnsi="Arial" w:cs="Arial"/>
          <w:kern w:val="0"/>
          <w:szCs w:val="24"/>
          <w:lang w:eastAsia="es-ES"/>
        </w:rPr>
        <w:t>. Para los efectos del presente capítulo se considera inválida la persona que por cualquier causa de origen no profesional, no provocada intencionalmente, hubiere perdido el 50% o más de su capacidad laboral.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9" w:name="39"/>
      <w:r w:rsidRPr="00186F49">
        <w:rPr>
          <w:rFonts w:ascii="Arial" w:eastAsia="Times New Roman" w:hAnsi="Arial" w:cs="Arial"/>
          <w:b/>
          <w:bCs/>
          <w:kern w:val="0"/>
          <w:szCs w:val="24"/>
          <w:lang w:eastAsia="es-ES"/>
        </w:rPr>
        <w:t> </w:t>
      </w:r>
      <w:bookmarkEnd w:id="19"/>
      <w:r w:rsidRPr="00186F49">
        <w:rPr>
          <w:rFonts w:ascii="Arial" w:eastAsia="Times New Roman" w:hAnsi="Arial" w:cs="Arial"/>
          <w:b/>
          <w:bCs/>
          <w:kern w:val="0"/>
          <w:szCs w:val="24"/>
          <w:lang w:eastAsia="es-ES"/>
        </w:rPr>
        <w:t>39.-</w:t>
      </w:r>
      <w:r w:rsidRPr="00186F49">
        <w:rPr>
          <w:rFonts w:ascii="Arial" w:eastAsia="Times New Roman" w:hAnsi="Arial" w:cs="Arial"/>
          <w:kern w:val="0"/>
          <w:szCs w:val="24"/>
          <w:lang w:eastAsia="es-ES"/>
        </w:rPr>
        <w:t xml:space="preserve"> </w:t>
      </w:r>
      <w:hyperlink r:id="rId69" w:anchor="11" w:history="1">
        <w:r w:rsidRPr="00186F49">
          <w:rPr>
            <w:rFonts w:ascii="Arial" w:eastAsia="Times New Roman" w:hAnsi="Arial" w:cs="Arial"/>
            <w:color w:val="0000FF"/>
            <w:kern w:val="0"/>
            <w:szCs w:val="24"/>
            <w:u w:val="single"/>
            <w:lang w:eastAsia="es-ES"/>
          </w:rPr>
          <w:t>Modificado por el art. 11, Ley 797 de 2003</w:t>
        </w:r>
      </w:hyperlink>
      <w:r w:rsidRPr="00186F49">
        <w:rPr>
          <w:rFonts w:ascii="Arial" w:eastAsia="Times New Roman" w:hAnsi="Arial" w:cs="Arial"/>
          <w:kern w:val="0"/>
          <w:szCs w:val="24"/>
          <w:lang w:eastAsia="es-ES"/>
        </w:rPr>
        <w:t xml:space="preserve">, </w:t>
      </w:r>
      <w:hyperlink r:id="rId70" w:anchor="1" w:history="1">
        <w:r w:rsidRPr="00186F49">
          <w:rPr>
            <w:rFonts w:ascii="Arial" w:eastAsia="Times New Roman" w:hAnsi="Arial" w:cs="Arial"/>
            <w:color w:val="0000FF"/>
            <w:kern w:val="0"/>
            <w:szCs w:val="24"/>
            <w:u w:val="single"/>
            <w:lang w:eastAsia="es-ES"/>
          </w:rPr>
          <w:t>Modificado por el art. 1, Ley 860 de 2003</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Requisitos para obtener la pensión de invalidez</w:t>
      </w:r>
      <w:r w:rsidRPr="00186F49">
        <w:rPr>
          <w:rFonts w:ascii="Arial" w:eastAsia="Times New Roman" w:hAnsi="Arial" w:cs="Arial"/>
          <w:kern w:val="0"/>
          <w:szCs w:val="24"/>
          <w:lang w:eastAsia="es-ES"/>
        </w:rPr>
        <w:t>. Tendrán derecho a la pensión de invalidez, los afiliados que conforme a lo dispuesto en el artículo anterior sean declarados inválidos y cumplan con alguno de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Que el afiliado se encuentre cotizando al régimen y hubiere cotizado por lo menos veintiséis (26) semanas, al momento de producirse el estado de invalidez,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Que habiendo dejado de cotizar al sistema, hubiere efectuado aportes durante por lo menos veintiséis (26) semanas del año inmediatamente anterior al momento en que se produzca el estado de invalidez.</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-Para efectos del cómputo de las semanas a que se refiere el presente artículo se tendrá en cuenta lo dispuesto en los parágrafos del artículo 33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NOTA: Algunas expresiones del art. 1, de la Ley </w:t>
      </w:r>
      <w:hyperlink r:id="rId71" w:anchor="0" w:history="1">
        <w:r w:rsidRPr="00186F49">
          <w:rPr>
            <w:rFonts w:ascii="Arial" w:eastAsia="Times New Roman" w:hAnsi="Arial" w:cs="Arial"/>
            <w:color w:val="0000FF"/>
            <w:kern w:val="0"/>
            <w:szCs w:val="24"/>
            <w:u w:val="single"/>
            <w:lang w:eastAsia="es-ES"/>
          </w:rPr>
          <w:t>860</w:t>
        </w:r>
      </w:hyperlink>
      <w:r w:rsidRPr="00186F49">
        <w:rPr>
          <w:rFonts w:ascii="Arial" w:eastAsia="Times New Roman" w:hAnsi="Arial" w:cs="Arial"/>
          <w:b/>
          <w:bCs/>
          <w:kern w:val="0"/>
          <w:szCs w:val="24"/>
          <w:lang w:eastAsia="es-ES"/>
        </w:rPr>
        <w:t xml:space="preserve"> de 2003, fueron declaradas INEXEQUIBLES por la Corte Constitucional mediante Sentencia </w:t>
      </w:r>
      <w:hyperlink r:id="rId72" w:anchor="0" w:history="1">
        <w:r w:rsidRPr="00186F49">
          <w:rPr>
            <w:rFonts w:ascii="Arial" w:eastAsia="Times New Roman" w:hAnsi="Arial" w:cs="Arial"/>
            <w:color w:val="0000FF"/>
            <w:kern w:val="0"/>
            <w:szCs w:val="24"/>
            <w:u w:val="single"/>
            <w:lang w:eastAsia="es-ES"/>
          </w:rPr>
          <w:t>C-428</w:t>
        </w:r>
      </w:hyperlink>
      <w:r w:rsidRPr="00186F49">
        <w:rPr>
          <w:rFonts w:ascii="Arial" w:eastAsia="Times New Roman" w:hAnsi="Arial" w:cs="Arial"/>
          <w:b/>
          <w:bCs/>
          <w:kern w:val="0"/>
          <w:szCs w:val="24"/>
          <w:lang w:eastAsia="es-ES"/>
        </w:rPr>
        <w:t xml:space="preserve"> de 2009</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0" w:name="BM40"/>
      <w:r w:rsidRPr="00186F49">
        <w:rPr>
          <w:rFonts w:ascii="Arial" w:eastAsia="Times New Roman" w:hAnsi="Arial" w:cs="Arial"/>
          <w:b/>
          <w:bCs/>
          <w:kern w:val="0"/>
          <w:szCs w:val="24"/>
          <w:lang w:eastAsia="es-ES"/>
        </w:rPr>
        <w:t> </w:t>
      </w:r>
      <w:bookmarkEnd w:id="20"/>
      <w:r w:rsidRPr="00186F49">
        <w:rPr>
          <w:rFonts w:ascii="Arial" w:eastAsia="Times New Roman" w:hAnsi="Arial" w:cs="Arial"/>
          <w:b/>
          <w:bCs/>
          <w:kern w:val="0"/>
          <w:szCs w:val="24"/>
          <w:lang w:eastAsia="es-ES"/>
        </w:rPr>
        <w:t>40.-Monto de la pensión de invalidez</w:t>
      </w:r>
      <w:r w:rsidRPr="00186F49">
        <w:rPr>
          <w:rFonts w:ascii="Arial" w:eastAsia="Times New Roman" w:hAnsi="Arial" w:cs="Arial"/>
          <w:kern w:val="0"/>
          <w:szCs w:val="24"/>
          <w:lang w:eastAsia="es-ES"/>
        </w:rPr>
        <w:t>.  </w:t>
      </w:r>
      <w:hyperlink r:id="rId73"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El monto mensual de la pensión de invalidez será equivalente 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El 45% del ingreso base de liquidación, más el 1.5% de dicho ingreso por cada cincuenta (50) semanas de cotización que el afiliado tuviese acreditadas con posterioridad a las primeras quinientas (500) semanas de cotización, cuando la disminución en su capacidad laboral sea igual o superior al 50% e inferior al 66%,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El 54% del ingreso base de liquidación, más el 2% de dicho ingreso por cada cincuenta (50) semanas de cotización que el afiliado tuviese acreditadas con posterioridad a las primeras ochocientas (800) semanas de cotización, cuando la disminución en su capacidad laboral es igual o superior al 66%.</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pensión por invalidez no podrá ser superior al 75% del ingreso base de liquidación.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En ningún caso la pensión de invalidez podrá ser inferior al salario mínimo legal mensual.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pensión de invalidez se reconocerá a solicitud de parte interesada y comenzará a pagarse, en forma retroactiva, desde la fecha en que se produzca tal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1" w:name="BM41"/>
      <w:r w:rsidRPr="00186F49">
        <w:rPr>
          <w:rFonts w:ascii="Arial" w:eastAsia="Times New Roman" w:hAnsi="Arial" w:cs="Arial"/>
          <w:b/>
          <w:bCs/>
          <w:kern w:val="0"/>
          <w:szCs w:val="24"/>
          <w:lang w:eastAsia="es-ES"/>
        </w:rPr>
        <w:t> </w:t>
      </w:r>
      <w:bookmarkEnd w:id="21"/>
      <w:r w:rsidRPr="00186F49">
        <w:rPr>
          <w:rFonts w:ascii="Arial" w:eastAsia="Times New Roman" w:hAnsi="Arial" w:cs="Arial"/>
          <w:b/>
          <w:bCs/>
          <w:kern w:val="0"/>
          <w:szCs w:val="24"/>
          <w:lang w:eastAsia="es-ES"/>
        </w:rPr>
        <w:t>41.-Calificación del estado de invalidez</w:t>
      </w:r>
      <w:r w:rsidRPr="00186F49">
        <w:rPr>
          <w:rFonts w:ascii="Arial" w:eastAsia="Times New Roman" w:hAnsi="Arial" w:cs="Arial"/>
          <w:kern w:val="0"/>
          <w:szCs w:val="24"/>
          <w:lang w:eastAsia="es-ES"/>
        </w:rPr>
        <w:t>.  </w:t>
      </w:r>
      <w:hyperlink r:id="rId74" w:anchor="52" w:history="1">
        <w:r w:rsidRPr="00186F49">
          <w:rPr>
            <w:rFonts w:ascii="Arial" w:eastAsia="Times New Roman" w:hAnsi="Arial" w:cs="Arial"/>
            <w:color w:val="0000FF"/>
            <w:kern w:val="0"/>
            <w:szCs w:val="24"/>
            <w:u w:val="single"/>
            <w:lang w:eastAsia="es-ES"/>
          </w:rPr>
          <w:t>Modificado por el art. 52, Ley 962 de 2005</w:t>
        </w:r>
      </w:hyperlink>
      <w:r w:rsidRPr="00186F49">
        <w:rPr>
          <w:rFonts w:ascii="Arial" w:eastAsia="Times New Roman" w:hAnsi="Arial" w:cs="Arial"/>
          <w:kern w:val="0"/>
          <w:szCs w:val="24"/>
          <w:lang w:eastAsia="es-ES"/>
        </w:rPr>
        <w:t>. El estado de invalidez será determinado de conformidad con lo dispuesto en los artículos siguientes y con base en el manual único para la calificación de la invalidez, expedido por el Gobierno Nacional, que deberá contemplar los criterios técnicos de evaluación, para calificar la imposibilidad que tenga el afectado para desempeñar su trabajo por pérdida de la capacidad laboral. </w:t>
      </w:r>
      <w:hyperlink r:id="rId75" w:anchor="0" w:history="1">
        <w:r w:rsidRPr="00186F49">
          <w:rPr>
            <w:rFonts w:ascii="Arial" w:eastAsia="Times New Roman" w:hAnsi="Arial" w:cs="Arial"/>
            <w:color w:val="0000FF"/>
            <w:kern w:val="0"/>
            <w:szCs w:val="24"/>
            <w:u w:val="single"/>
            <w:lang w:eastAsia="es-ES"/>
          </w:rPr>
          <w:t>Ver el Decreto Nacional 692 de 1995</w:t>
        </w:r>
      </w:hyperlink>
      <w:r w:rsidRPr="00186F49">
        <w:rPr>
          <w:rFonts w:ascii="Arial" w:eastAsia="Times New Roman" w:hAnsi="Arial" w:cs="Arial"/>
          <w:kern w:val="0"/>
          <w:szCs w:val="24"/>
          <w:lang w:eastAsia="es-ES"/>
        </w:rPr>
        <w:t xml:space="preserve">, </w:t>
      </w:r>
      <w:hyperlink r:id="rId76" w:anchor="46" w:history="1">
        <w:r w:rsidRPr="00186F49">
          <w:rPr>
            <w:rFonts w:ascii="Arial" w:eastAsia="Times New Roman" w:hAnsi="Arial" w:cs="Arial"/>
            <w:color w:val="0000FF"/>
            <w:kern w:val="0"/>
            <w:szCs w:val="24"/>
            <w:u w:val="single"/>
            <w:lang w:eastAsia="es-ES"/>
          </w:rPr>
          <w:t>Ver el art. 46, Ley 1151 de 2007</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2" w:name="BM42"/>
      <w:r w:rsidRPr="00186F49">
        <w:rPr>
          <w:rFonts w:ascii="Arial" w:eastAsia="Times New Roman" w:hAnsi="Arial" w:cs="Arial"/>
          <w:b/>
          <w:bCs/>
          <w:kern w:val="0"/>
          <w:szCs w:val="24"/>
          <w:lang w:eastAsia="es-ES"/>
        </w:rPr>
        <w:t> </w:t>
      </w:r>
      <w:bookmarkEnd w:id="22"/>
      <w:r w:rsidRPr="00186F49">
        <w:rPr>
          <w:rFonts w:ascii="Arial" w:eastAsia="Times New Roman" w:hAnsi="Arial" w:cs="Arial"/>
          <w:b/>
          <w:bCs/>
          <w:kern w:val="0"/>
          <w:szCs w:val="24"/>
          <w:lang w:eastAsia="es-ES"/>
        </w:rPr>
        <w:t>42-Juntas regionales de calificación de invalidez</w:t>
      </w:r>
      <w:r w:rsidRPr="00186F49">
        <w:rPr>
          <w:rFonts w:ascii="Arial" w:eastAsia="Times New Roman" w:hAnsi="Arial" w:cs="Arial"/>
          <w:kern w:val="0"/>
          <w:szCs w:val="24"/>
          <w:lang w:eastAsia="es-ES"/>
        </w:rPr>
        <w:t>. En las capitales de departamento y en aquellas ciudades en las cuales el volumen de afiliados así lo requiera, se conformará una comisión interdisciplinaria que calificará en primera instancia la invalidez y determinará su origen.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comisiones estarán compuestas por un número impar de expertos, designados por el Ministerio de Trabajo y Seguridad Social, quienes actuarán de conformidad con la reglamentación que para tal efecto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honorarios de los miembros de la comisión serán pagados por la entidad de previsión o seguridad social o la sociedad administradora a la que esté afiliado el solicitante.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3" w:name="BM43"/>
      <w:r w:rsidRPr="00186F49">
        <w:rPr>
          <w:rFonts w:ascii="Arial" w:eastAsia="Times New Roman" w:hAnsi="Arial" w:cs="Arial"/>
          <w:b/>
          <w:bCs/>
          <w:kern w:val="0"/>
          <w:szCs w:val="24"/>
          <w:lang w:eastAsia="es-ES"/>
        </w:rPr>
        <w:t> </w:t>
      </w:r>
      <w:bookmarkEnd w:id="23"/>
      <w:r w:rsidRPr="00186F49">
        <w:rPr>
          <w:rFonts w:ascii="Arial" w:eastAsia="Times New Roman" w:hAnsi="Arial" w:cs="Arial"/>
          <w:b/>
          <w:bCs/>
          <w:kern w:val="0"/>
          <w:szCs w:val="24"/>
          <w:lang w:eastAsia="es-ES"/>
        </w:rPr>
        <w:t>43-Junta nacional de calificación de invalidez.</w:t>
      </w:r>
      <w:r w:rsidRPr="00186F49">
        <w:rPr>
          <w:rFonts w:ascii="Arial" w:eastAsia="Times New Roman" w:hAnsi="Arial" w:cs="Arial"/>
          <w:kern w:val="0"/>
          <w:szCs w:val="24"/>
          <w:lang w:eastAsia="es-ES"/>
        </w:rPr>
        <w:t xml:space="preserve"> Créase la junta nacional para la calificación de los riesgos de invalidez con sede en la capital de la República, integrada por un número impar de miembros designados por el Ministerio de Trabajo y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 junta, que será interdisciplinaria, tiene a su cargo la resolución de las controversias que en segunda instancia sean sometidas para su decisión por las juntas regionales o seccionales respectivas.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honorarios de los miembros de la junta, serán pagados, en todo caso por la entidad de previsión o seguridad social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Gobierno Nacional reglamentará la integración, financiación y funcionamiento de la junta nacional de calificación de invalidez, de su secretaría técnica y de las juntas regionales o seccionales, el procedimiento de apelación, el manual único para la calificación de la invalidez </w:t>
      </w:r>
      <w:r w:rsidRPr="00186F49">
        <w:rPr>
          <w:rFonts w:ascii="Arial" w:eastAsia="Times New Roman" w:hAnsi="Arial" w:cs="Arial"/>
          <w:kern w:val="0"/>
          <w:szCs w:val="24"/>
          <w:u w:val="single"/>
          <w:lang w:eastAsia="es-ES"/>
        </w:rPr>
        <w:t>y demás normas necesarias para su adecuado funcionamiento</w:t>
      </w:r>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 xml:space="preserve">Texto subrayado declarado INEXEQUIBLE por la Corte Constitucional mediante </w:t>
      </w:r>
      <w:hyperlink r:id="rId77" w:anchor="0" w:history="1">
        <w:r w:rsidRPr="00186F49">
          <w:rPr>
            <w:rFonts w:ascii="Arial" w:eastAsia="Times New Roman" w:hAnsi="Arial" w:cs="Arial"/>
            <w:color w:val="0000FF"/>
            <w:kern w:val="0"/>
            <w:szCs w:val="24"/>
            <w:u w:val="single"/>
            <w:lang w:eastAsia="es-ES"/>
          </w:rPr>
          <w:t>Sentencia C-1002 de 2004</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PARAGRAFO-</w:t>
      </w:r>
      <w:r w:rsidRPr="00186F49">
        <w:rPr>
          <w:rFonts w:ascii="Arial" w:eastAsia="Times New Roman" w:hAnsi="Arial" w:cs="Arial"/>
          <w:kern w:val="0"/>
          <w:szCs w:val="24"/>
          <w:lang w:eastAsia="es-ES"/>
        </w:rPr>
        <w:t xml:space="preserve"> Miembros de la junta nacional y los de las juntas regionales de calificación de invalidez de que trata el artículo anterior, no tienen el carácter de servidores públicos.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4" w:name="BM44"/>
      <w:r w:rsidRPr="00186F49">
        <w:rPr>
          <w:rFonts w:ascii="Arial" w:eastAsia="Times New Roman" w:hAnsi="Arial" w:cs="Arial"/>
          <w:b/>
          <w:bCs/>
          <w:kern w:val="0"/>
          <w:szCs w:val="24"/>
          <w:lang w:eastAsia="es-ES"/>
        </w:rPr>
        <w:t> </w:t>
      </w:r>
      <w:bookmarkEnd w:id="24"/>
      <w:r w:rsidRPr="00186F49">
        <w:rPr>
          <w:rFonts w:ascii="Arial" w:eastAsia="Times New Roman" w:hAnsi="Arial" w:cs="Arial"/>
          <w:b/>
          <w:bCs/>
          <w:kern w:val="0"/>
          <w:szCs w:val="24"/>
          <w:lang w:eastAsia="es-ES"/>
        </w:rPr>
        <w:t>44</w:t>
      </w:r>
      <w:r w:rsidRPr="00186F49">
        <w:rPr>
          <w:rFonts w:ascii="Arial" w:eastAsia="Times New Roman" w:hAnsi="Arial" w:cs="Arial"/>
          <w:kern w:val="0"/>
          <w:szCs w:val="24"/>
          <w:lang w:eastAsia="es-ES"/>
        </w:rPr>
        <w:t>.-Revisión de las pensiones de invalidez.  </w:t>
      </w:r>
      <w:hyperlink r:id="rId78"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El estado de invalidez podrá revisarse: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Por solicitud de la entidad de previsión o seguridad social correspondiente cada tres (3) años, con el fin de ratificar, modificar o dejar sin efectos el dictamen que sirvió de base para la liquidación de la pensión que disfruta su beneficiario y proceder a la extinción, disminución o aumento de la misma, si a ello hubiere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Este nuevo dictamen se sujeta a las reglas de los artículos anteriores.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pensionado tendrá un plazo de tres (3) meses contados a partir de la fecha de dicha solicitud, para someterse a la respectiva revisión del estado de invalidez. Salvo casos de fuerza mayor, si el pensionado no se presenta o impide dicha revisión dentro de dicho plazo, se suspenderá el pago de la pensión. Transcurridos doce (12) meses contados desde la misma fecha sin que el pensionado se presente o permita el examen, la respectiva pensión prescribirá.</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readquirir el derecho en forma posterior, el afiliado que alegue permanecer inválido deberá someterse a un nuevo dictamen. Los gastos de este nuevo dictamen serán pagados por el afiliado,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b)  Por solicitud del pensionado en cualquier tiempo y a su costa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45.- </w:t>
      </w:r>
      <w:hyperlink r:id="rId79" w:anchor="1" w:history="1">
        <w:r w:rsidRPr="00186F49">
          <w:rPr>
            <w:rFonts w:ascii="Arial" w:eastAsia="Times New Roman" w:hAnsi="Arial" w:cs="Arial"/>
            <w:color w:val="0000FF"/>
            <w:kern w:val="0"/>
            <w:szCs w:val="24"/>
            <w:u w:val="single"/>
            <w:lang w:eastAsia="es-ES"/>
          </w:rPr>
          <w:t>Reglamentado por el Decreto Nacional 1730 de 2001</w:t>
        </w:r>
      </w:hyperlink>
      <w:r w:rsidRPr="00186F49">
        <w:rPr>
          <w:rFonts w:ascii="Arial" w:eastAsia="Times New Roman" w:hAnsi="Arial" w:cs="Arial"/>
          <w:b/>
          <w:bCs/>
          <w:kern w:val="0"/>
          <w:szCs w:val="24"/>
          <w:lang w:eastAsia="es-ES"/>
        </w:rPr>
        <w:t xml:space="preserve"> Indemnización sustitutiva de la pensión de invalidez</w:t>
      </w:r>
      <w:r w:rsidRPr="00186F49">
        <w:rPr>
          <w:rFonts w:ascii="Arial" w:eastAsia="Times New Roman" w:hAnsi="Arial" w:cs="Arial"/>
          <w:kern w:val="0"/>
          <w:szCs w:val="24"/>
          <w:lang w:eastAsia="es-ES"/>
        </w:rPr>
        <w:t>. El afiliado que al momento de invalidarse no hubiere reunido los requisitos exigidos para la pensión de invalidez, tendrá derecho a recibir, en sustitución, una indemnización equivalente a la que le hubiere correspondido en el caso de la indemnización sustitutiva de la pensión de vejez, prevista en el artículo 37 de la presente ley.</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46.- </w:t>
      </w:r>
      <w:hyperlink r:id="rId80" w:anchor="12" w:history="1">
        <w:r w:rsidRPr="00186F49">
          <w:rPr>
            <w:rFonts w:ascii="Arial" w:eastAsia="Times New Roman" w:hAnsi="Arial" w:cs="Arial"/>
            <w:color w:val="0000FF"/>
            <w:kern w:val="0"/>
            <w:szCs w:val="24"/>
            <w:u w:val="single"/>
            <w:lang w:eastAsia="es-ES"/>
          </w:rPr>
          <w:t>Modificado por el art. 12, Ley 797 de 2003</w:t>
        </w:r>
      </w:hyperlink>
      <w:r w:rsidRPr="00186F49">
        <w:rPr>
          <w:rFonts w:ascii="Arial" w:eastAsia="Times New Roman" w:hAnsi="Arial" w:cs="Arial"/>
          <w:b/>
          <w:bCs/>
          <w:kern w:val="0"/>
          <w:szCs w:val="24"/>
          <w:lang w:eastAsia="es-ES"/>
        </w:rPr>
        <w:t xml:space="preserve"> Requisitos para obtener la pensión de sobrevivientes</w:t>
      </w:r>
      <w:r w:rsidRPr="00186F49">
        <w:rPr>
          <w:rFonts w:ascii="Arial" w:eastAsia="Times New Roman" w:hAnsi="Arial" w:cs="Arial"/>
          <w:kern w:val="0"/>
          <w:szCs w:val="24"/>
          <w:lang w:eastAsia="es-ES"/>
        </w:rPr>
        <w:t>. Tendrán derecho a la pensión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Los miembros del grupo familiar del pensionado por vejez, o invalidez por riesgo común, que fallezca.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2.  Los miembros del grupo familiar del afiliado que fallezca, siempre que éste hubiere cumplido alguno de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Que el afiliado se encuentre cotizando al sistema y hubiere cotizado por lo menos veintiséis (26) semanas al momento de la muerte,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Que habiendo dejado de cotizar al sistema, hubiere efectuado aportes durante por lo menos veintiséis (26) semanas del año inmediatamente anterior al momento en que se produzca la muerte.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Para efectos del cómputo de las semanas a que se refiere el presente artículo se tendrá en cuenta lo dispuesto en los parágrafos del artículo 33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5" w:name="BM47"/>
      <w:r w:rsidRPr="00186F49">
        <w:rPr>
          <w:rFonts w:ascii="Arial" w:eastAsia="Times New Roman" w:hAnsi="Arial" w:cs="Arial"/>
          <w:b/>
          <w:bCs/>
          <w:kern w:val="0"/>
          <w:szCs w:val="24"/>
          <w:lang w:eastAsia="es-ES"/>
        </w:rPr>
        <w:t> </w:t>
      </w:r>
      <w:bookmarkEnd w:id="25"/>
      <w:r w:rsidRPr="00186F49">
        <w:rPr>
          <w:rFonts w:ascii="Arial" w:eastAsia="Times New Roman" w:hAnsi="Arial" w:cs="Arial"/>
          <w:b/>
          <w:bCs/>
          <w:kern w:val="0"/>
          <w:szCs w:val="24"/>
          <w:lang w:eastAsia="es-ES"/>
        </w:rPr>
        <w:t>47</w:t>
      </w:r>
      <w:hyperlink r:id="rId81" w:anchor="13" w:history="1">
        <w:r w:rsidRPr="00186F49">
          <w:rPr>
            <w:rFonts w:ascii="Arial" w:eastAsia="Times New Roman" w:hAnsi="Arial" w:cs="Arial"/>
            <w:color w:val="0000FF"/>
            <w:kern w:val="0"/>
            <w:szCs w:val="24"/>
            <w:u w:val="single"/>
            <w:lang w:eastAsia="es-ES"/>
          </w:rPr>
          <w:t xml:space="preserve">.- Modificado por el art. 13, Ley 797 de 2003 </w:t>
        </w:r>
      </w:hyperlink>
      <w:r w:rsidRPr="00186F49">
        <w:rPr>
          <w:rFonts w:ascii="Arial" w:eastAsia="Times New Roman" w:hAnsi="Arial" w:cs="Arial"/>
          <w:b/>
          <w:bCs/>
          <w:kern w:val="0"/>
          <w:szCs w:val="24"/>
          <w:lang w:eastAsia="es-ES"/>
        </w:rPr>
        <w:t>Beneficiarios de la pensión de sobrevivientes</w:t>
      </w:r>
      <w:r w:rsidRPr="00186F49">
        <w:rPr>
          <w:rFonts w:ascii="Arial" w:eastAsia="Times New Roman" w:hAnsi="Arial" w:cs="Arial"/>
          <w:kern w:val="0"/>
          <w:szCs w:val="24"/>
          <w:lang w:eastAsia="es-ES"/>
        </w:rPr>
        <w:t>.  </w:t>
      </w:r>
      <w:hyperlink r:id="rId82"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Son beneficiarios de la pensión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En forma vitalicia, el cónyuge o la compañera o compañero permanente supérstite.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caso de que la pensión de sobrevivencia se cause por muerte del pensionado, el cónyuge o la compañera o compañero permanente supérstite, deberá acreditar que estuvo haciendo vida marital con el causante </w:t>
      </w:r>
      <w:r w:rsidRPr="00186F49">
        <w:rPr>
          <w:rFonts w:ascii="Arial" w:eastAsia="Times New Roman" w:hAnsi="Arial" w:cs="Arial"/>
          <w:b/>
          <w:bCs/>
          <w:kern w:val="0"/>
          <w:szCs w:val="24"/>
          <w:lang w:eastAsia="es-ES"/>
        </w:rPr>
        <w:t xml:space="preserve">por lo menos desde el momento en que éste cumplió con los requisitos para tener derecho a una pensión de vejez o invalidez </w:t>
      </w:r>
      <w:r w:rsidRPr="00186F49">
        <w:rPr>
          <w:rFonts w:ascii="Arial" w:eastAsia="Times New Roman" w:hAnsi="Arial" w:cs="Arial"/>
          <w:kern w:val="0"/>
          <w:szCs w:val="24"/>
          <w:lang w:eastAsia="es-ES"/>
        </w:rPr>
        <w:t>hasta su muerte, y haya convivido con el fallecido no menos de dos (2) años continuos con anterioridad a su muerte, salvo que haya procreado uno o más hijos con el pensionado fallecido;</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texto en negrilla fue </w:t>
      </w:r>
      <w:proofErr w:type="gramStart"/>
      <w:r w:rsidRPr="00186F49">
        <w:rPr>
          <w:rFonts w:ascii="Arial" w:eastAsia="Times New Roman" w:hAnsi="Arial" w:cs="Arial"/>
          <w:b/>
          <w:bCs/>
          <w:kern w:val="0"/>
          <w:szCs w:val="24"/>
          <w:lang w:eastAsia="es-ES"/>
        </w:rPr>
        <w:t>declarada</w:t>
      </w:r>
      <w:proofErr w:type="gramEnd"/>
      <w:r w:rsidRPr="00186F49">
        <w:rPr>
          <w:rFonts w:ascii="Arial" w:eastAsia="Times New Roman" w:hAnsi="Arial" w:cs="Arial"/>
          <w:b/>
          <w:bCs/>
          <w:kern w:val="0"/>
          <w:szCs w:val="24"/>
          <w:lang w:eastAsia="es-ES"/>
        </w:rPr>
        <w:t xml:space="preserve"> inexequible por la Corte Constitucional en Sentencia C-1176 de 2001).</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Los hijos menores de 18 años; los hijos mayores de 18 años y hasta los 25 años, incapacitados para trabajar por razón de sus estudios y si dependían económicamente del causante al momento de su muerte; y, los hijos inválidos si dependían económicamente del causante, mientras subsistan las condiciones de invalidez;</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A falta del cónyuge, compañero o compañera permanente e hijos con derecho, serán beneficiarios los padres del causante si dependían económicamente de éste,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A falta de cónyuge, compañero o compañera permanente, padres e hijos con derecho, serán beneficiarios los hermanos inválidos del causante si dependían económicamente de éste.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83" w:anchor="0" w:history="1">
        <w:r w:rsidRPr="00186F49">
          <w:rPr>
            <w:rFonts w:ascii="Arial" w:eastAsia="Times New Roman" w:hAnsi="Arial" w:cs="Arial"/>
            <w:color w:val="0000FF"/>
            <w:kern w:val="0"/>
            <w:szCs w:val="24"/>
            <w:u w:val="single"/>
            <w:lang w:eastAsia="es-ES"/>
          </w:rPr>
          <w:t>Ver el Fallo del Consejo de Estado 2773 de 2000</w:t>
        </w:r>
      </w:hyperlink>
      <w:r w:rsidRPr="00186F49">
        <w:rPr>
          <w:rFonts w:ascii="Arial" w:eastAsia="Times New Roman" w:hAnsi="Arial" w:cs="Arial"/>
          <w:kern w:val="0"/>
          <w:szCs w:val="24"/>
          <w:lang w:eastAsia="es-ES"/>
        </w:rPr>
        <w:t xml:space="preserve">, </w:t>
      </w:r>
      <w:hyperlink r:id="rId84" w:anchor="0" w:history="1">
        <w:r w:rsidRPr="00186F49">
          <w:rPr>
            <w:rFonts w:ascii="Arial" w:eastAsia="Times New Roman" w:hAnsi="Arial" w:cs="Arial"/>
            <w:color w:val="0000FF"/>
            <w:kern w:val="0"/>
            <w:szCs w:val="24"/>
            <w:u w:val="single"/>
            <w:lang w:eastAsia="es-ES"/>
          </w:rPr>
          <w:t>Ver la Ley 1204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w:t>
      </w:r>
      <w:bookmarkStart w:id="26" w:name="BM48"/>
      <w:r w:rsidRPr="00186F49">
        <w:rPr>
          <w:rFonts w:ascii="Arial" w:eastAsia="Times New Roman" w:hAnsi="Arial" w:cs="Arial"/>
          <w:b/>
          <w:bCs/>
          <w:kern w:val="0"/>
          <w:szCs w:val="24"/>
          <w:lang w:eastAsia="es-ES"/>
        </w:rPr>
        <w:t> </w:t>
      </w:r>
      <w:bookmarkEnd w:id="26"/>
      <w:r w:rsidRPr="00186F49">
        <w:rPr>
          <w:rFonts w:ascii="Arial" w:eastAsia="Times New Roman" w:hAnsi="Arial" w:cs="Arial"/>
          <w:b/>
          <w:bCs/>
          <w:kern w:val="0"/>
          <w:szCs w:val="24"/>
          <w:lang w:eastAsia="es-ES"/>
        </w:rPr>
        <w:t>48.-Monto de la pensión de sobrevivientes</w:t>
      </w:r>
      <w:r w:rsidRPr="00186F49">
        <w:rPr>
          <w:rFonts w:ascii="Arial" w:eastAsia="Times New Roman" w:hAnsi="Arial" w:cs="Arial"/>
          <w:kern w:val="0"/>
          <w:szCs w:val="24"/>
          <w:lang w:eastAsia="es-ES"/>
        </w:rPr>
        <w:t xml:space="preserve">.   </w:t>
      </w:r>
      <w:hyperlink r:id="rId85"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El monto mensual de la pensión de sobrevivientes por muerte del pensionado será igual al 100% de la pensión que aquél disfrutaba.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monto mensual de la pensión total de sobrevivientes por muerte del afiliado será igual al 45% del ingreso base de liquidación más 2% de dicho ingreso por cada cincuenta (50) semanas adicionales de cotización a las primeras quinientas (500) semanas de cotización, sin que exceda el 75% del ingreso base de liquidación.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ningún caso el monto de la pensión podrá ser inferior al salario mínimo legal mensual vigente, conforme a lo establecido en el artículo 35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No obstante lo previsto en este artículo, los afiliados podrán optar por una pensión de sobrevivientes equivalente al régimen de pensión de sobrevivientes del ISS, vigente con anterioridad a la fecha de vigencia de la presente ley equivalente al 65% del ingreso base de liquidación, siempre que se cumplan las mismas condiciones establecidas por dicho instituto.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49.- </w:t>
      </w:r>
      <w:hyperlink r:id="rId86" w:anchor="1" w:history="1">
        <w:r w:rsidRPr="00186F49">
          <w:rPr>
            <w:rFonts w:ascii="Arial" w:eastAsia="Times New Roman" w:hAnsi="Arial" w:cs="Arial"/>
            <w:color w:val="0000FF"/>
            <w:kern w:val="0"/>
            <w:szCs w:val="24"/>
            <w:u w:val="single"/>
            <w:lang w:eastAsia="es-ES"/>
          </w:rPr>
          <w:t>Reglamentado por el Decreto Nacional 1730 de 2001</w:t>
        </w:r>
      </w:hyperlink>
      <w:r w:rsidRPr="00186F49">
        <w:rPr>
          <w:rFonts w:ascii="Arial" w:eastAsia="Times New Roman" w:hAnsi="Arial" w:cs="Arial"/>
          <w:b/>
          <w:bCs/>
          <w:kern w:val="0"/>
          <w:szCs w:val="24"/>
          <w:lang w:eastAsia="es-ES"/>
        </w:rPr>
        <w:t xml:space="preserve"> Indemnización sustitutiva de la pensión de sobrevivientes.</w:t>
      </w:r>
      <w:r w:rsidRPr="00186F49">
        <w:rPr>
          <w:rFonts w:ascii="Arial" w:eastAsia="Times New Roman" w:hAnsi="Arial" w:cs="Arial"/>
          <w:kern w:val="0"/>
          <w:szCs w:val="24"/>
          <w:lang w:eastAsia="es-ES"/>
        </w:rPr>
        <w:t xml:space="preserve"> Los miembros del grupo familiar del afiliado que al momento de su muerte no hubiese reunido los requisitos exigidos para la pensión de sobrevivientes, tendrán derecho a recibir, en sustitución, una indemnización equivalente a la que le hubiera correspondido en el caso de la indemnización sustitutiva de la pensión de vejez, prevista en el artículo 37 de la presente ley. </w:t>
      </w:r>
      <w:hyperlink r:id="rId87" w:anchor="0" w:history="1">
        <w:r w:rsidRPr="00186F49">
          <w:rPr>
            <w:rFonts w:ascii="Arial" w:eastAsia="Times New Roman" w:hAnsi="Arial" w:cs="Arial"/>
            <w:color w:val="0000FF"/>
            <w:kern w:val="0"/>
            <w:szCs w:val="24"/>
            <w:u w:val="single"/>
            <w:lang w:eastAsia="es-ES"/>
          </w:rPr>
          <w:t>Ver la Sentencia de la Corte Constitucional T-355 de 1995</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Prestaciones adicionales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50.-Mesada adicional</w:t>
      </w:r>
      <w:r w:rsidRPr="00186F49">
        <w:rPr>
          <w:rFonts w:ascii="Arial" w:eastAsia="Times New Roman" w:hAnsi="Arial" w:cs="Arial"/>
          <w:kern w:val="0"/>
          <w:szCs w:val="24"/>
          <w:lang w:eastAsia="es-ES"/>
        </w:rPr>
        <w:t>. Los pensionados por vejez o jubilación, invalidez y sustitución o sobrevivencia continuarán recibiendo cada año, junto con la mesada del mes de noviembre, en la primera quincena del mes de diciembre, el valor correspondiente a una mensualidad adicional a su pensión.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51.-Auxilio funerario</w:t>
      </w:r>
      <w:r w:rsidRPr="00186F49">
        <w:rPr>
          <w:rFonts w:ascii="Arial" w:eastAsia="Times New Roman" w:hAnsi="Arial" w:cs="Arial"/>
          <w:kern w:val="0"/>
          <w:szCs w:val="24"/>
          <w:lang w:eastAsia="es-ES"/>
        </w:rPr>
        <w:t>.  </w:t>
      </w:r>
      <w:hyperlink r:id="rId88"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xml:space="preserve">. La persona que compruebe haber sufragado los gastos de entierro de un afiliado o pensionado, tendrá derecho a percibir un auxilio funerario equivalente al último salario base de cotización, o al valor correspondiente a la última mesada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recibida, según sea el caso, sin que este auxilio pueda ser inferior a cinco (5) salarios mínimos legales mensuales vigentes, ni superior a diez (10) veces dicho salario.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los gastos funerarios por disposición legal o reglamentaria deban estar cubiertos por una póliza de seguros, el Instituto de Seguros Sociales, cajas, fondos o entidades del sector público podrán repetir contra la entidad </w:t>
      </w:r>
      <w:r w:rsidRPr="00186F49">
        <w:rPr>
          <w:rFonts w:ascii="Arial" w:eastAsia="Times New Roman" w:hAnsi="Arial" w:cs="Arial"/>
          <w:kern w:val="0"/>
          <w:szCs w:val="24"/>
          <w:lang w:eastAsia="es-ES"/>
        </w:rPr>
        <w:lastRenderedPageBreak/>
        <w:t>aseguradora que lo haya amparado, por las sumas que se paguen por este concepto.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Administradoras del régimen solidario de prima media con prestación definida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52.-</w:t>
      </w:r>
      <w:r w:rsidRPr="00186F49">
        <w:rPr>
          <w:rFonts w:ascii="Arial" w:eastAsia="Times New Roman" w:hAnsi="Arial" w:cs="Arial"/>
          <w:kern w:val="0"/>
          <w:szCs w:val="24"/>
          <w:lang w:eastAsia="es-ES"/>
        </w:rPr>
        <w:t xml:space="preserve"> </w:t>
      </w:r>
      <w:hyperlink r:id="rId89" w:anchor="1" w:history="1">
        <w:r w:rsidRPr="00186F49">
          <w:rPr>
            <w:rFonts w:ascii="Arial" w:eastAsia="Times New Roman" w:hAnsi="Arial" w:cs="Arial"/>
            <w:color w:val="0000FF"/>
            <w:kern w:val="0"/>
            <w:szCs w:val="24"/>
            <w:u w:val="single"/>
            <w:lang w:eastAsia="es-ES"/>
          </w:rPr>
          <w:t>Reglamentado por el Decreto Nacional 2527 de 2000</w:t>
        </w:r>
      </w:hyperlink>
      <w:r w:rsidRPr="00186F49">
        <w:rPr>
          <w:rFonts w:ascii="Arial" w:eastAsia="Times New Roman" w:hAnsi="Arial" w:cs="Arial"/>
          <w:kern w:val="0"/>
          <w:szCs w:val="24"/>
          <w:lang w:eastAsia="es-ES"/>
        </w:rPr>
        <w:t xml:space="preserve">, </w:t>
      </w:r>
      <w:hyperlink r:id="rId90" w:anchor="0" w:history="1">
        <w:r w:rsidRPr="00186F49">
          <w:rPr>
            <w:rFonts w:ascii="Arial" w:eastAsia="Times New Roman" w:hAnsi="Arial" w:cs="Arial"/>
            <w:color w:val="0000FF"/>
            <w:kern w:val="0"/>
            <w:szCs w:val="24"/>
            <w:u w:val="single"/>
            <w:lang w:eastAsia="es-ES"/>
          </w:rPr>
          <w:t>Reglamentado por el Decreto Nacional 3727 de 2003</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Entidades administradoras</w:t>
      </w:r>
      <w:r w:rsidRPr="00186F49">
        <w:rPr>
          <w:rFonts w:ascii="Arial" w:eastAsia="Times New Roman" w:hAnsi="Arial" w:cs="Arial"/>
          <w:kern w:val="0"/>
          <w:szCs w:val="24"/>
          <w:lang w:eastAsia="es-ES"/>
        </w:rPr>
        <w:t>. El régimen solidario de prima media con prestación definida será administrado por el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cajas, fondos o entidades de seguridad social existentes, del sector público o privado, administrarán este régimen respecto de sus afiliados y mientras dichas entidades subsistan, sin perjuicio de que aquéllos se acojan a </w:t>
      </w:r>
      <w:proofErr w:type="gramStart"/>
      <w:r w:rsidRPr="00186F49">
        <w:rPr>
          <w:rFonts w:ascii="Arial" w:eastAsia="Times New Roman" w:hAnsi="Arial" w:cs="Arial"/>
          <w:kern w:val="0"/>
          <w:szCs w:val="24"/>
          <w:lang w:eastAsia="es-ES"/>
        </w:rPr>
        <w:t>cualesquiera</w:t>
      </w:r>
      <w:proofErr w:type="gramEnd"/>
      <w:r w:rsidRPr="00186F49">
        <w:rPr>
          <w:rFonts w:ascii="Arial" w:eastAsia="Times New Roman" w:hAnsi="Arial" w:cs="Arial"/>
          <w:kern w:val="0"/>
          <w:szCs w:val="24"/>
          <w:lang w:eastAsia="es-ES"/>
        </w:rPr>
        <w:t xml:space="preserve"> de los regímenes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previstos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cajas, fondos o entidades de seguridad social existentes, del sector público o privado, estarán sometidas a la vigilancia y control de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53.-Fiscalización e investigación</w:t>
      </w:r>
      <w:r w:rsidRPr="00186F49">
        <w:rPr>
          <w:rFonts w:ascii="Arial" w:eastAsia="Times New Roman" w:hAnsi="Arial" w:cs="Arial"/>
          <w:kern w:val="0"/>
          <w:szCs w:val="24"/>
          <w:lang w:eastAsia="es-ES"/>
        </w:rPr>
        <w:t>. Las entidades administradoras del régimen solidario de prestación definida tienen amplias facultades de fiscalización e investigación sobre el empleador o agente retenedor de las cotizaciones al régimen, para asegurar el efectivo cumplimiento de la presente ley. Para tal efecto podrán: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Verificar la exactitud de las cotizaciones y aportes u otros informes, cuando lo consideren necesario;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Adelantar las investigaciones que estimen convenientes para verificar la ocurrencia de hechos generadores de obligaciones no declarados;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Citar o requerir a los empleadores o agentes retenedores de las cotizaciones al régimen, o a terceros, para que rindan informes;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Exigir a los empleadores o agentes retenedores de las cotizaciones al régimen, o a terceros, la presentación de documentos o registros de operaciones, cuando unos u otros estén obligados a llevar libros registrados,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Ordenar la exhibición y examen de los libros, comprobantes y documentos del empleador o agente retenedor de las cotizaciones al régimen, y realizar las diligencias necesarias para la correcta y oportuna determinación de las obligaciones.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54.-Inversión y rentabilidad de las reservas de invalidez, vejez y muerte (IVM) y accidentes de trabajo y enfermedad profesional (ATEP).</w:t>
      </w:r>
      <w:r w:rsidRPr="00186F49">
        <w:rPr>
          <w:rFonts w:ascii="Arial" w:eastAsia="Times New Roman" w:hAnsi="Arial" w:cs="Arial"/>
          <w:kern w:val="0"/>
          <w:szCs w:val="24"/>
          <w:lang w:eastAsia="es-ES"/>
        </w:rPr>
        <w:t xml:space="preserve"> La inversión de las reservas de IVM y ATEP del Instituto de Seguros Sociales y del fondo de pensiones públicas del nivel nacional, se manejarán mediante </w:t>
      </w:r>
      <w:r w:rsidRPr="00186F49">
        <w:rPr>
          <w:rFonts w:ascii="Arial" w:eastAsia="Times New Roman" w:hAnsi="Arial" w:cs="Arial"/>
          <w:kern w:val="0"/>
          <w:szCs w:val="24"/>
          <w:lang w:eastAsia="es-ES"/>
        </w:rPr>
        <w:lastRenderedPageBreak/>
        <w:t>contrato de fiducia con las entidades del sector financiero especializado en este servicio o en títulos de la Nación donde se busque obtener la rentabilidad mínima de que trata el artículo 101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caso de no garantizarse la rentabilidad señalada en el inciso anterior, las reservas de IVM y ATEP del Instituto de Seguros Sociales y del fondo de pensiones públicas del nivel nacional se colocarán en una cuenta de la tesorería general de la Nación que les garantizará una rentabilidad que preserve su poder adquisitivo.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Dichas entidades podrán efectuar retiros de la cuenta de la tesorería general de la Nación para celebrar nuevos contratos de fiducia o para invertir en títulos de deuda de la Nación colocados en el mercado de capitales. Cuando dentro del plazo de un (1) año la rentabilidad de los títulos de deuda de la Nación no mantenga el poder adquisitivo de las reservas, la Nación efectuará la compensación necesaria para cumplir el mandato del artículo 48 de la Constitución Política, mediante apropiación y giro del presupuesto general de la Nación.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Las reservas de las cajas, fondos o entidades de previsión social del sector público que conforme a lo dispuesto en la presente ley, administren el régimen de prima media con prestación definida, deberán manejarse mediante encargo fiduciario o títulos de la Nación, con arreglo a las normas que sobre inversión, rentabilidad y control determine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PARÁGRAFO.-</w:t>
      </w:r>
      <w:r w:rsidRPr="00186F49">
        <w:rPr>
          <w:rFonts w:ascii="Arial" w:eastAsia="Times New Roman" w:hAnsi="Arial" w:cs="Arial"/>
          <w:kern w:val="0"/>
          <w:szCs w:val="24"/>
          <w:lang w:eastAsia="es-ES"/>
        </w:rPr>
        <w:t xml:space="preserve"> </w:t>
      </w:r>
      <w:hyperlink r:id="rId91" w:anchor="21" w:history="1">
        <w:r w:rsidRPr="00186F49">
          <w:rPr>
            <w:rFonts w:ascii="Arial" w:eastAsia="Times New Roman" w:hAnsi="Arial" w:cs="Arial"/>
            <w:color w:val="0000FF"/>
            <w:kern w:val="0"/>
            <w:szCs w:val="24"/>
            <w:u w:val="single"/>
            <w:lang w:eastAsia="es-ES"/>
          </w:rPr>
          <w:t>Adicionado por el art. 21, Ley 797 de 2003</w:t>
        </w:r>
      </w:hyperlink>
      <w:r w:rsidRPr="00186F49">
        <w:rPr>
          <w:rFonts w:ascii="Arial" w:eastAsia="Times New Roman" w:hAnsi="Arial" w:cs="Arial"/>
          <w:b/>
          <w:bCs/>
          <w:kern w:val="0"/>
          <w:szCs w:val="24"/>
          <w:lang w:eastAsia="es-ES"/>
        </w:rPr>
        <w:t xml:space="preserve">  , </w:t>
      </w:r>
      <w:hyperlink r:id="rId92" w:anchor="0" w:history="1">
        <w:r w:rsidRPr="00186F49">
          <w:rPr>
            <w:rFonts w:ascii="Arial" w:eastAsia="Times New Roman" w:hAnsi="Arial" w:cs="Arial"/>
            <w:color w:val="0000FF"/>
            <w:kern w:val="0"/>
            <w:szCs w:val="24"/>
            <w:u w:val="single"/>
            <w:lang w:eastAsia="es-ES"/>
          </w:rPr>
          <w:t>Reglamentado Parcialmente por el Decreto Nacional 2279 de 2003</w:t>
        </w:r>
      </w:hyperlink>
      <w:r w:rsidRPr="00186F49">
        <w:rPr>
          <w:rFonts w:ascii="Arial" w:eastAsia="Times New Roman" w:hAnsi="Arial" w:cs="Arial"/>
          <w:b/>
          <w:bCs/>
          <w:kern w:val="0"/>
          <w:szCs w:val="24"/>
          <w:lang w:eastAsia="es-ES"/>
        </w:rPr>
        <w:t>. El texto adicionado es el siguiente:</w:t>
      </w:r>
      <w:proofErr w:type="gramStart"/>
      <w:r w:rsidRPr="00186F49">
        <w:rPr>
          <w:rFonts w:ascii="Arial" w:eastAsia="Times New Roman" w:hAnsi="Arial" w:cs="Arial"/>
          <w:b/>
          <w:bCs/>
          <w:kern w:val="0"/>
          <w:szCs w:val="24"/>
          <w:lang w:eastAsia="es-ES"/>
        </w:rPr>
        <w:t>  Parágrafo</w:t>
      </w:r>
      <w:proofErr w:type="gramEnd"/>
      <w:r w:rsidRPr="00186F49">
        <w:rPr>
          <w:rFonts w:ascii="Arial" w:eastAsia="Times New Roman" w:hAnsi="Arial" w:cs="Arial"/>
          <w:kern w:val="0"/>
          <w:szCs w:val="24"/>
          <w:lang w:eastAsia="es-ES"/>
        </w:rPr>
        <w:t xml:space="preserve">. Las empresas del sector privado, conforme a lo establecido en los Decretos-Ley 1282 y 1283 de 1994, deben transferir el valor de su cálculo actuarial a las cajas, fondos, o entidades de seguridad social del sector privado, que administren el régimen de prima media con prestación definida, tendrán plazo para realizar dicha transferencia en pagos anuales de forma lineal hasta el año 2023. El valor a pagar en cada anualidad se calculará de tal forma que permita atender las mesadas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corrientes para cada vigencia fiscal.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valores que se deben transferir de conformidad con el inciso anterior incluyen además de las transferencias futuras todas las sumas de dinero que a la fecha de expedición de la presente ley no hayan sido transferidas y los intereses que sobre ellas se hayan causado.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Son ineficaces, sin necesidad de declaración judicial, las estipulaciones que formen parte de cualquier acto o acuerdo y que tengan por objeto o finalidad establecer pasos o condiciones diferentes a las consagradas en el siguiente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55.-Exoneración de intereses</w:t>
      </w:r>
      <w:r w:rsidRPr="00186F49">
        <w:rPr>
          <w:rFonts w:ascii="Arial" w:eastAsia="Times New Roman" w:hAnsi="Arial" w:cs="Arial"/>
          <w:kern w:val="0"/>
          <w:szCs w:val="24"/>
          <w:lang w:eastAsia="es-ES"/>
        </w:rPr>
        <w:t xml:space="preserve">. Los empleadores que a 31 de julio de 1993 adeudaban sumas al ISS por concepto de aportes o cotizaciones a los seguros de enfermedad general y maternidad y accidente de trabajo y </w:t>
      </w:r>
      <w:r w:rsidRPr="00186F49">
        <w:rPr>
          <w:rFonts w:ascii="Arial" w:eastAsia="Times New Roman" w:hAnsi="Arial" w:cs="Arial"/>
          <w:kern w:val="0"/>
          <w:szCs w:val="24"/>
          <w:lang w:eastAsia="es-ES"/>
        </w:rPr>
        <w:lastRenderedPageBreak/>
        <w:t>enfermedad profesional, quedarán exonerados de los intereses moratorios y de la sanción por mora correspondientes a tales deudas, así como de las sanciones por mora correspondientes al capital adeudado por los seguros de invalidez, vejez y muerte, siempre y cuando cancelen la deuda dentro de los cuatro meses siguientes a la vigencia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gozar del beneficio de que trata el presente artículo, el empleador deberá cancelar la totalidad de las sumas adeudadas al momento del pago.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56.-Castigo de cartera.</w:t>
      </w:r>
      <w:r w:rsidRPr="00186F49">
        <w:rPr>
          <w:rFonts w:ascii="Arial" w:eastAsia="Times New Roman" w:hAnsi="Arial" w:cs="Arial"/>
          <w:kern w:val="0"/>
          <w:szCs w:val="24"/>
          <w:lang w:eastAsia="es-ES"/>
        </w:rPr>
        <w:t xml:space="preserve"> El consejo directivo del Instituto de Seguros Sociales podrá castigar aquella cartera de dudoso recaudo cuando ésta tenga un atraso superior a 24 meses, utilizando para el efecto criterios similares a los que rigen en el sistema bancario. En ningún caso el castigo de cartera implicará la condonación de la deuda.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57.-Cobro coactivo</w:t>
      </w:r>
      <w:r w:rsidRPr="00186F49">
        <w:rPr>
          <w:rFonts w:ascii="Arial" w:eastAsia="Times New Roman" w:hAnsi="Arial" w:cs="Arial"/>
          <w:kern w:val="0"/>
          <w:szCs w:val="24"/>
          <w:lang w:eastAsia="es-ES"/>
        </w:rPr>
        <w:t>. De conformidad con el artículo 79 del Código Contencioso Administrativo y el artículo 112 de la Ley 6ª de 1992, las entidades administradoras del régimen de prima media con prestación definida podrán establecer el cobro coactivo, para hacer efectivos sus créditos.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58.-Publicidad</w:t>
      </w:r>
      <w:r w:rsidRPr="00186F49">
        <w:rPr>
          <w:rFonts w:ascii="Arial" w:eastAsia="Times New Roman" w:hAnsi="Arial" w:cs="Arial"/>
          <w:kern w:val="0"/>
          <w:szCs w:val="24"/>
          <w:lang w:eastAsia="es-ES"/>
        </w:rPr>
        <w:t>. Las entidades administradoras del régimen solidario de prestación definida podrán adelantar programas de publicidad, comunicación y promoción de sus actividades conforme, en lo pertinente, a la reglamentación que para el efecto expida la Superintendencia Bancaria. Tal publicidad solamente podrá contratarse con cargo al presupuesto de gastos administrativos de la entidad.</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Régimen de ahorro individual con solidaridad</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Normas generales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27" w:name="59"/>
      <w:r w:rsidRPr="00186F49">
        <w:rPr>
          <w:rFonts w:ascii="Arial" w:eastAsia="Times New Roman" w:hAnsi="Arial" w:cs="Arial"/>
          <w:b/>
          <w:bCs/>
          <w:kern w:val="0"/>
          <w:szCs w:val="24"/>
          <w:lang w:eastAsia="es-ES"/>
        </w:rPr>
        <w:t> </w:t>
      </w:r>
      <w:bookmarkEnd w:id="27"/>
      <w:r w:rsidRPr="00186F49">
        <w:rPr>
          <w:rFonts w:ascii="Arial" w:eastAsia="Times New Roman" w:hAnsi="Arial" w:cs="Arial"/>
          <w:b/>
          <w:bCs/>
          <w:kern w:val="0"/>
          <w:szCs w:val="24"/>
          <w:lang w:eastAsia="es-ES"/>
        </w:rPr>
        <w:t>59.-Concepto</w:t>
      </w:r>
      <w:r w:rsidRPr="00186F49">
        <w:rPr>
          <w:rFonts w:ascii="Arial" w:eastAsia="Times New Roman" w:hAnsi="Arial" w:cs="Arial"/>
          <w:kern w:val="0"/>
          <w:szCs w:val="24"/>
          <w:lang w:eastAsia="es-ES"/>
        </w:rPr>
        <w:t>. El régimen de ahorro individual con solidaridad es el conjunto de entidades, normas y procedimientos, mediante los cuales se administran los recursos privados y públicos destinados a pagar las pensiones y prestaciones que deban reconocerse a sus afiliados, de acuerdo con lo previsto en este título.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Este régimen está basado en el ahorro proveniente de las cotizaciones y sus respectivos rendimientos financieros,</w:t>
      </w:r>
      <w:r w:rsidRPr="00186F49">
        <w:rPr>
          <w:rFonts w:ascii="Arial" w:eastAsia="Times New Roman" w:hAnsi="Arial" w:cs="Arial"/>
          <w:kern w:val="0"/>
          <w:szCs w:val="24"/>
          <w:lang w:eastAsia="es-ES"/>
        </w:rPr>
        <w:t xml:space="preserve"> la solidaridad a través de garantías de pensión mínima y aportes al fondo de solidaridad, y propende por la competencia entre las diferentes entidades administradoras del sector privado, sector público y sector social solidario, que libremente escojan los afiliados. </w:t>
      </w:r>
      <w:hyperlink r:id="rId93"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94" w:anchor="47" w:history="1">
        <w:r w:rsidRPr="00186F49">
          <w:rPr>
            <w:rFonts w:ascii="Arial" w:eastAsia="Times New Roman" w:hAnsi="Arial" w:cs="Arial"/>
            <w:color w:val="0000FF"/>
            <w:kern w:val="0"/>
            <w:szCs w:val="24"/>
            <w:u w:val="single"/>
            <w:lang w:eastAsia="es-ES"/>
          </w:rPr>
          <w:t>Adicionado por el art. 47, Ley 1328 de 2009</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w:t>
      </w:r>
      <w:bookmarkStart w:id="28" w:name="60"/>
      <w:r w:rsidRPr="00186F49">
        <w:rPr>
          <w:rFonts w:ascii="Arial" w:eastAsia="Times New Roman" w:hAnsi="Arial" w:cs="Arial"/>
          <w:b/>
          <w:bCs/>
          <w:kern w:val="0"/>
          <w:szCs w:val="24"/>
          <w:lang w:eastAsia="es-ES"/>
        </w:rPr>
        <w:t> </w:t>
      </w:r>
      <w:bookmarkEnd w:id="28"/>
      <w:r w:rsidRPr="00186F49">
        <w:rPr>
          <w:rFonts w:ascii="Arial" w:eastAsia="Times New Roman" w:hAnsi="Arial" w:cs="Arial"/>
          <w:b/>
          <w:bCs/>
          <w:kern w:val="0"/>
          <w:szCs w:val="24"/>
          <w:lang w:eastAsia="es-ES"/>
        </w:rPr>
        <w:t>60.-Características</w:t>
      </w:r>
      <w:r w:rsidRPr="00186F49">
        <w:rPr>
          <w:rFonts w:ascii="Arial" w:eastAsia="Times New Roman" w:hAnsi="Arial" w:cs="Arial"/>
          <w:kern w:val="0"/>
          <w:szCs w:val="24"/>
          <w:lang w:eastAsia="es-ES"/>
        </w:rPr>
        <w:t>. El régimen de ahorro individual con solidaridad tendrá las siguientes características:</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lang w:eastAsia="es-ES"/>
        </w:rPr>
        <w:t>a)  </w:t>
      </w:r>
      <w:r w:rsidRPr="00186F49">
        <w:rPr>
          <w:rFonts w:ascii="Arial" w:eastAsia="Times New Roman" w:hAnsi="Arial" w:cs="Arial"/>
          <w:kern w:val="0"/>
          <w:szCs w:val="24"/>
          <w:u w:val="single"/>
          <w:lang w:eastAsia="es-ES"/>
        </w:rPr>
        <w:t>Los afiliados al régimen tendrán derecho al reconocimiento y pago de las pensiones de vejez, de invalidez y de sobrevivientes, así como de las indemnizaciones contenidas en este título, cuya cuantía dependerá de los aportes de los afiliados y empleadores, sus rendimientos financieros, y de los subsidios del Estado, cuando a ellos hubiere lugar;</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 xml:space="preserve">b)  Una parte de los aportes mencionados en el literal anterior, se capitalizará en la cuenta individual de ahorro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xml:space="preserve"> de cada afiliado. Otra parte se destinará al pago de primas de seguros para atender las pensiones de invalidez y de sobrevivientes y la asesoría para la contratación de la renta vitalicia, financiar el fondo de solidaridad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xml:space="preserve"> y cubrir el costo de administración del régimen.</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 xml:space="preserve">Las cuentas de ahorro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serán administradas por las entidades que se autoricen para tal efecto, sujetas a la vigilancia y control del Estado;</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c)  </w:t>
      </w:r>
      <w:hyperlink r:id="rId95" w:anchor="48" w:history="1">
        <w:r w:rsidRPr="00186F49">
          <w:rPr>
            <w:rFonts w:ascii="Arial" w:eastAsia="Times New Roman" w:hAnsi="Arial" w:cs="Arial"/>
            <w:color w:val="0000FF"/>
            <w:kern w:val="0"/>
            <w:szCs w:val="24"/>
            <w:u w:val="single"/>
            <w:lang w:eastAsia="es-ES"/>
          </w:rPr>
          <w:t>Modificado por el art. 48, Ley 1328 de 2009</w:t>
        </w:r>
      </w:hyperlink>
      <w:r w:rsidRPr="00186F49">
        <w:rPr>
          <w:rFonts w:ascii="Arial" w:eastAsia="Times New Roman" w:hAnsi="Arial" w:cs="Arial"/>
          <w:kern w:val="0"/>
          <w:szCs w:val="24"/>
          <w:u w:val="single"/>
          <w:lang w:eastAsia="es-ES"/>
        </w:rPr>
        <w:t>. Los afiliados al sistema podrán escoger y trasladarse libremente entre entidades administradoras, y seleccionar la aseguradora con la cual contraten las rentas o pensiones;</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d)  </w:t>
      </w:r>
      <w:hyperlink r:id="rId96" w:anchor="48" w:history="1">
        <w:r w:rsidRPr="00186F49">
          <w:rPr>
            <w:rFonts w:ascii="Arial" w:eastAsia="Times New Roman" w:hAnsi="Arial" w:cs="Arial"/>
            <w:color w:val="0000FF"/>
            <w:kern w:val="0"/>
            <w:szCs w:val="24"/>
            <w:u w:val="single"/>
            <w:lang w:eastAsia="es-ES"/>
          </w:rPr>
          <w:t>Modificado por el art. 48, Ley 1328 de 2009</w:t>
        </w:r>
      </w:hyperlink>
      <w:r w:rsidRPr="00186F49">
        <w:rPr>
          <w:rFonts w:ascii="Arial" w:eastAsia="Times New Roman" w:hAnsi="Arial" w:cs="Arial"/>
          <w:kern w:val="0"/>
          <w:szCs w:val="24"/>
          <w:u w:val="single"/>
          <w:lang w:eastAsia="es-ES"/>
        </w:rPr>
        <w:t xml:space="preserve">. El conjunto de las cuentas individuales de ahorro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xml:space="preserve"> constituye un patrimonio autónomo propiedad de los afiliados, denominado fondo de pensiones, el cual es independiente del patrimonio de la entidad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e)  Las entidades administradoras deberán garantizar una rentabilidad mínima del fondo de pensiones que administran;</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f)  El patrimonio de las entidades administradoras garantiza el pago de la rentabilidad mínima de que trata el literal anterior y el desarrollo del negocio de administración del fondo de pensiones;</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lang w:eastAsia="es-ES"/>
        </w:rPr>
        <w:t>g)   </w:t>
      </w:r>
      <w:hyperlink r:id="rId97" w:anchor="0" w:history="1">
        <w:r w:rsidRPr="00186F49">
          <w:rPr>
            <w:rFonts w:ascii="Arial" w:eastAsia="Times New Roman" w:hAnsi="Arial" w:cs="Arial"/>
            <w:color w:val="0000FF"/>
            <w:kern w:val="0"/>
            <w:szCs w:val="24"/>
            <w:u w:val="single"/>
            <w:lang w:eastAsia="es-ES"/>
          </w:rPr>
          <w:t>Reglamentado por el Decreto Nacional 1515 de 1998</w:t>
        </w:r>
      </w:hyperlink>
      <w:r w:rsidRPr="00186F49">
        <w:rPr>
          <w:rFonts w:ascii="Arial" w:eastAsia="Times New Roman" w:hAnsi="Arial" w:cs="Arial"/>
          <w:kern w:val="0"/>
          <w:szCs w:val="24"/>
          <w:u w:val="single"/>
          <w:lang w:eastAsia="es-ES"/>
        </w:rPr>
        <w:t>.</w:t>
      </w:r>
      <w:r w:rsidRPr="00186F49">
        <w:rPr>
          <w:rFonts w:ascii="Arial" w:eastAsia="Times New Roman" w:hAnsi="Arial" w:cs="Arial"/>
          <w:kern w:val="0"/>
          <w:szCs w:val="24"/>
          <w:lang w:eastAsia="es-ES"/>
        </w:rPr>
        <w:t xml:space="preserve"> </w:t>
      </w:r>
      <w:r w:rsidRPr="00186F49">
        <w:rPr>
          <w:rFonts w:ascii="Arial" w:eastAsia="Times New Roman" w:hAnsi="Arial" w:cs="Arial"/>
          <w:kern w:val="0"/>
          <w:szCs w:val="24"/>
          <w:u w:val="single"/>
          <w:lang w:eastAsia="es-ES"/>
        </w:rPr>
        <w:t>El Estado </w:t>
      </w:r>
      <w:bookmarkStart w:id="29" w:name="BM60_g"/>
      <w:r w:rsidRPr="00186F49">
        <w:rPr>
          <w:rFonts w:ascii="Arial" w:eastAsia="Times New Roman" w:hAnsi="Arial" w:cs="Arial"/>
          <w:kern w:val="0"/>
          <w:szCs w:val="24"/>
          <w:u w:val="single"/>
          <w:lang w:eastAsia="es-ES"/>
        </w:rPr>
        <w:t> </w:t>
      </w:r>
      <w:bookmarkEnd w:id="29"/>
      <w:r w:rsidRPr="00186F49">
        <w:rPr>
          <w:rFonts w:ascii="Arial" w:eastAsia="Times New Roman" w:hAnsi="Arial" w:cs="Arial"/>
          <w:kern w:val="0"/>
          <w:szCs w:val="24"/>
          <w:u w:val="single"/>
          <w:lang w:eastAsia="es-ES"/>
        </w:rPr>
        <w:t>garantiza los ahorros del afiliado y el pago de las pensiones a que éste tenga derecho, cuando las entidades administradoras o aseguradoras incumplan sus obligaciones, en los términos de la presente ley, revirtiendo contra el patrimonio de las entidades administradoras y aplicando las sanciones pertinentes por incumplimiento, de acuerdo con la reglamentación que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 xml:space="preserve">h)  Tendrán derecho al reconocimiento de bonos </w:t>
      </w:r>
      <w:proofErr w:type="spellStart"/>
      <w:r w:rsidRPr="00186F49">
        <w:rPr>
          <w:rFonts w:ascii="Arial" w:eastAsia="Times New Roman" w:hAnsi="Arial" w:cs="Arial"/>
          <w:kern w:val="0"/>
          <w:szCs w:val="24"/>
          <w:u w:val="single"/>
          <w:lang w:eastAsia="es-ES"/>
        </w:rPr>
        <w:t>pensionales</w:t>
      </w:r>
      <w:proofErr w:type="spellEnd"/>
      <w:r w:rsidRPr="00186F49">
        <w:rPr>
          <w:rFonts w:ascii="Arial" w:eastAsia="Times New Roman" w:hAnsi="Arial" w:cs="Arial"/>
          <w:kern w:val="0"/>
          <w:szCs w:val="24"/>
          <w:u w:val="single"/>
          <w:lang w:eastAsia="es-ES"/>
        </w:rPr>
        <w:t xml:space="preserve"> los afiliados al régimen que hayan efectuado aportes o cotizaciones al Instituto de Seguros Sociales, o a las cajas, fondos o entidades del sector público, o prestado servicios como servidores públicos, o trabajado en empresas que tienen a su exclusivo cargo las pensiones de sus trabajadores y trasladen la parte proporcional del cálculo actuarial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lastRenderedPageBreak/>
        <w:t>i)  En desarrollo del principio de solidaridad, el Estado aportará los recursos que sean necesarios para garantizar el pago de pensiones mínimas, cuando la capitalización de los aportes de los afiliados y sus rendimientos financieros fueren insuficientes, y aquéllos cumplan las condiciones requeridas para el efecto, y</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j)  El control y vigilancia de las entidades administradoras de los fondos de pensiones corresponde a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98"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0" w:name="BM61"/>
      <w:r w:rsidRPr="00186F49">
        <w:rPr>
          <w:rFonts w:ascii="Arial" w:eastAsia="Times New Roman" w:hAnsi="Arial" w:cs="Arial"/>
          <w:b/>
          <w:bCs/>
          <w:kern w:val="0"/>
          <w:szCs w:val="24"/>
          <w:lang w:eastAsia="es-ES"/>
        </w:rPr>
        <w:t> </w:t>
      </w:r>
      <w:bookmarkEnd w:id="30"/>
      <w:r w:rsidRPr="00186F49">
        <w:rPr>
          <w:rFonts w:ascii="Arial" w:eastAsia="Times New Roman" w:hAnsi="Arial" w:cs="Arial"/>
          <w:b/>
          <w:bCs/>
          <w:kern w:val="0"/>
          <w:szCs w:val="24"/>
          <w:lang w:eastAsia="es-ES"/>
        </w:rPr>
        <w:t>61.-Personas excluidas del régimen de ahorro individual con solidaridad.</w:t>
      </w:r>
      <w:r w:rsidRPr="00186F49">
        <w:rPr>
          <w:rFonts w:ascii="Arial" w:eastAsia="Times New Roman" w:hAnsi="Arial" w:cs="Arial"/>
          <w:kern w:val="0"/>
          <w:szCs w:val="24"/>
          <w:lang w:eastAsia="es-ES"/>
        </w:rPr>
        <w:t xml:space="preserve"> Están excluidos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Los pensionados por invalidez por el Instituto de Seguros Sociales o por cualquier fondo, caja o entidad del sector público,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Las personas que al entrar en vigencia el sistema tuvieren cincuenta y cinco (55) años o más de edad, si son hombres, o cincuenta (50) años o más de edad, si son mujeres, salvo que decidan cotizar por lo menos quinientas (500) semanas en el nuevo régimen, caso en el cual será obligatorio para el empleador efectuar los aportes correspondientes.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99" w:anchor="0" w:history="1">
        <w:r w:rsidRPr="00186F49">
          <w:rPr>
            <w:rFonts w:ascii="Arial" w:eastAsia="Times New Roman" w:hAnsi="Arial" w:cs="Arial"/>
            <w:color w:val="0000FF"/>
            <w:kern w:val="0"/>
            <w:szCs w:val="24"/>
            <w:u w:val="single"/>
            <w:lang w:eastAsia="es-ES"/>
          </w:rPr>
          <w:t>Ver la Circular del Min. Protección 032 de 2007</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62.-Cotizaciones voluntarias</w:t>
      </w:r>
      <w:r w:rsidRPr="00186F49">
        <w:rPr>
          <w:rFonts w:ascii="Arial" w:eastAsia="Times New Roman" w:hAnsi="Arial" w:cs="Arial"/>
          <w:kern w:val="0"/>
          <w:szCs w:val="24"/>
          <w:lang w:eastAsia="es-ES"/>
        </w:rPr>
        <w:t xml:space="preserve">. Los afiliados al régimen de ahorro individual con solidaridad podrán cotizar, periódica u ocasionalmente, valores superiores a los límites mínimos establecidos como cotización obligatoria, con el fin de incrementar los saldos de sus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para optar por una pensión mayor o un retiro anticipado. </w:t>
      </w:r>
      <w:hyperlink r:id="rId100"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1" w:name="63"/>
      <w:r w:rsidRPr="00186F49">
        <w:rPr>
          <w:rFonts w:ascii="Arial" w:eastAsia="Times New Roman" w:hAnsi="Arial" w:cs="Arial"/>
          <w:b/>
          <w:bCs/>
          <w:kern w:val="0"/>
          <w:szCs w:val="24"/>
          <w:lang w:eastAsia="es-ES"/>
        </w:rPr>
        <w:t> </w:t>
      </w:r>
      <w:bookmarkEnd w:id="31"/>
      <w:r w:rsidRPr="00186F49">
        <w:rPr>
          <w:rFonts w:ascii="Arial" w:eastAsia="Times New Roman" w:hAnsi="Arial" w:cs="Arial"/>
          <w:b/>
          <w:bCs/>
          <w:kern w:val="0"/>
          <w:szCs w:val="24"/>
          <w:lang w:eastAsia="es-ES"/>
        </w:rPr>
        <w:t xml:space="preserve">63.-Cuentas individuales de ahorro </w:t>
      </w:r>
      <w:proofErr w:type="spellStart"/>
      <w:r w:rsidRPr="00186F49">
        <w:rPr>
          <w:rFonts w:ascii="Arial" w:eastAsia="Times New Roman" w:hAnsi="Arial" w:cs="Arial"/>
          <w:b/>
          <w:bCs/>
          <w:kern w:val="0"/>
          <w:szCs w:val="24"/>
          <w:lang w:eastAsia="es-ES"/>
        </w:rPr>
        <w:t>pensional</w:t>
      </w:r>
      <w:proofErr w:type="spellEnd"/>
      <w:r w:rsidRPr="00186F49">
        <w:rPr>
          <w:rFonts w:ascii="Arial" w:eastAsia="Times New Roman" w:hAnsi="Arial" w:cs="Arial"/>
          <w:kern w:val="0"/>
          <w:szCs w:val="24"/>
          <w:lang w:eastAsia="es-ES"/>
        </w:rPr>
        <w:t xml:space="preserve">. </w:t>
      </w:r>
      <w:hyperlink r:id="rId101" w:anchor="49" w:history="1">
        <w:r w:rsidRPr="00186F49">
          <w:rPr>
            <w:rFonts w:ascii="Arial" w:eastAsia="Times New Roman" w:hAnsi="Arial" w:cs="Arial"/>
            <w:color w:val="0000FF"/>
            <w:kern w:val="0"/>
            <w:szCs w:val="24"/>
            <w:u w:val="single"/>
            <w:lang w:eastAsia="es-ES"/>
          </w:rPr>
          <w:t>Modificado por el art. 49, Ley 1328 de 2009</w:t>
        </w:r>
      </w:hyperlink>
      <w:r w:rsidRPr="00186F49">
        <w:rPr>
          <w:rFonts w:ascii="Arial" w:eastAsia="Times New Roman" w:hAnsi="Arial" w:cs="Arial"/>
          <w:kern w:val="0"/>
          <w:szCs w:val="24"/>
          <w:lang w:eastAsia="es-ES"/>
        </w:rPr>
        <w:t xml:space="preserve">. Las cotizaciones obligatorias y voluntarias se abonarán a la cuenta individual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del afiliado. Cada afiliado sólo podrá tener una cuenta.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administradoras deberán enviar a sus afiliados, por lo menos trimestralmente, un extracto que registre las sumas depositadas, sus rendimientos y saldos, así como el monto de las comisiones cobradas y de las primas pagadas.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sumas existentes en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sólo podrán ser utilizadas para acceder a las pensiones de que trata este título, salvo lo dispuesto en los artículos 85 y 89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02"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Pensión de vejez</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2" w:name="BM64"/>
      <w:r w:rsidRPr="00186F49">
        <w:rPr>
          <w:rFonts w:ascii="Arial" w:eastAsia="Times New Roman" w:hAnsi="Arial" w:cs="Arial"/>
          <w:b/>
          <w:bCs/>
          <w:kern w:val="0"/>
          <w:szCs w:val="24"/>
          <w:lang w:eastAsia="es-ES"/>
        </w:rPr>
        <w:t> </w:t>
      </w:r>
      <w:bookmarkStart w:id="33" w:name="64"/>
      <w:bookmarkEnd w:id="32"/>
      <w:r w:rsidRPr="00186F49">
        <w:rPr>
          <w:rFonts w:ascii="Arial" w:eastAsia="Times New Roman" w:hAnsi="Arial" w:cs="Arial"/>
          <w:b/>
          <w:bCs/>
          <w:kern w:val="0"/>
          <w:szCs w:val="24"/>
          <w:lang w:eastAsia="es-ES"/>
        </w:rPr>
        <w:t> </w:t>
      </w:r>
      <w:bookmarkEnd w:id="33"/>
      <w:r w:rsidRPr="00186F49">
        <w:rPr>
          <w:rFonts w:ascii="Arial" w:eastAsia="Times New Roman" w:hAnsi="Arial" w:cs="Arial"/>
          <w:b/>
          <w:bCs/>
          <w:kern w:val="0"/>
          <w:szCs w:val="24"/>
          <w:lang w:eastAsia="es-ES"/>
        </w:rPr>
        <w:t>64.-Requisitos para obtener la pensión de vejez</w:t>
      </w:r>
      <w:r w:rsidRPr="00186F49">
        <w:rPr>
          <w:rFonts w:ascii="Arial" w:eastAsia="Times New Roman" w:hAnsi="Arial" w:cs="Arial"/>
          <w:kern w:val="0"/>
          <w:szCs w:val="24"/>
          <w:lang w:eastAsia="es-ES"/>
        </w:rPr>
        <w:t xml:space="preserve">. Los afiliados al régimen de ahorro individual con solidaridad, tendrán derecho a una pensión de vejez, a la edad que escojan, siempre y cuando el capital acumulado en su cuenta de ahorro individual les permita obtener una pensión mensual, superior al 110% del salario mínimo legal mensual vigente a la fecha de expedición de esta ley, reajustado anualmente según la variación porcentual del índice de precios al consumidor certificado por el DANE. Para el cálculo de dicho monto se tendrá en cuenta el valor del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cuando a éste hubiere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a pesar de cumplir los requisitos para acceder a la pensión en los términos del inciso anterior, el trabajador opte por continuar cotizando, el empleador estará obligado a efectuar las cotizaciones a su cargo, mientras dure la relación laboral, legal o reglamentaria, y hasta la fecha en la cual el trabajador cumpla sesenta (60) años si es mujer y sesenta y dos (62) años de edad si es hombre.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03" w:anchor="0" w:history="1">
        <w:r w:rsidRPr="00186F49">
          <w:rPr>
            <w:rFonts w:ascii="Arial" w:eastAsia="Times New Roman" w:hAnsi="Arial" w:cs="Arial"/>
            <w:color w:val="0000FF"/>
            <w:kern w:val="0"/>
            <w:szCs w:val="24"/>
            <w:u w:val="single"/>
            <w:lang w:eastAsia="es-ES"/>
          </w:rPr>
          <w:t>Ver la Sentencia de la Corte Constitucional T-1052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4" w:name="BM65"/>
      <w:r w:rsidRPr="00186F49">
        <w:rPr>
          <w:rFonts w:ascii="Arial" w:eastAsia="Times New Roman" w:hAnsi="Arial" w:cs="Arial"/>
          <w:b/>
          <w:bCs/>
          <w:kern w:val="0"/>
          <w:szCs w:val="24"/>
          <w:lang w:eastAsia="es-ES"/>
        </w:rPr>
        <w:t> </w:t>
      </w:r>
      <w:bookmarkEnd w:id="34"/>
      <w:r w:rsidRPr="00186F49">
        <w:rPr>
          <w:rFonts w:ascii="Arial" w:eastAsia="Times New Roman" w:hAnsi="Arial" w:cs="Arial"/>
          <w:b/>
          <w:bCs/>
          <w:kern w:val="0"/>
          <w:szCs w:val="24"/>
          <w:lang w:eastAsia="es-ES"/>
        </w:rPr>
        <w:t>65.-</w:t>
      </w:r>
      <w:r w:rsidRPr="00186F49">
        <w:rPr>
          <w:rFonts w:ascii="Arial" w:eastAsia="Times New Roman" w:hAnsi="Arial" w:cs="Arial"/>
          <w:kern w:val="0"/>
          <w:szCs w:val="24"/>
          <w:lang w:eastAsia="es-ES"/>
        </w:rPr>
        <w:t xml:space="preserve"> </w:t>
      </w:r>
      <w:hyperlink r:id="rId104" w:anchor="14" w:history="1">
        <w:r w:rsidRPr="00186F49">
          <w:rPr>
            <w:rFonts w:ascii="Arial" w:eastAsia="Times New Roman" w:hAnsi="Arial" w:cs="Arial"/>
            <w:color w:val="0000FF"/>
            <w:kern w:val="0"/>
            <w:szCs w:val="24"/>
            <w:u w:val="single"/>
            <w:lang w:eastAsia="es-ES"/>
          </w:rPr>
          <w:t>Modificado por el art. 14, Ley 797 de 2003</w:t>
        </w:r>
      </w:hyperlink>
      <w:r w:rsidRPr="00186F49">
        <w:rPr>
          <w:rFonts w:ascii="Arial" w:eastAsia="Times New Roman" w:hAnsi="Arial" w:cs="Arial"/>
          <w:b/>
          <w:bCs/>
          <w:kern w:val="0"/>
          <w:szCs w:val="24"/>
          <w:lang w:eastAsia="es-ES"/>
        </w:rPr>
        <w:t xml:space="preserve"> Garantía de pensión mínima de vejez</w:t>
      </w:r>
      <w:r w:rsidRPr="00186F49">
        <w:rPr>
          <w:rFonts w:ascii="Arial" w:eastAsia="Times New Roman" w:hAnsi="Arial" w:cs="Arial"/>
          <w:kern w:val="0"/>
          <w:szCs w:val="24"/>
          <w:lang w:eastAsia="es-ES"/>
        </w:rPr>
        <w:t xml:space="preserve">.   </w:t>
      </w:r>
      <w:hyperlink r:id="rId105"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Los afiliados que a los sesenta y dos (62) años de edad si son hombres y cincuenta y siete (57) si son mujeres, no hayan alcanzado a generar la pensión mínima de que trata el artículo 35 de la presente ley, y hubiesen cotizado por lo menos mil ciento cincuenta semanas (1.150), tendrán derecho a que el Gobierno Nacional, en desarrollo del principio de solidaridad, les complete la parte que haga falta para obtener dicha pensión.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-Para efectos del cómputo de las semanas a que se refiere el presente artículo se tendrá en cuenta lo previsto en los parágrafos del artículo 33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66.-Devolución de saldos</w:t>
      </w:r>
      <w:r w:rsidRPr="00186F49">
        <w:rPr>
          <w:rFonts w:ascii="Arial" w:eastAsia="Times New Roman" w:hAnsi="Arial" w:cs="Arial"/>
          <w:kern w:val="0"/>
          <w:szCs w:val="24"/>
          <w:lang w:eastAsia="es-ES"/>
        </w:rPr>
        <w:t xml:space="preserve">. Quienes a las edades previstas en el artículo anterior no hayan cotizado el número mínimo de semanas exigidas, y no hayan acumulado el capital necesario para financiar una pensión por lo menos igual al salario mínimo, tendrán derecho a la devolución del capital acumulado en su cuenta de ahorro individual, incluidos los rendimientos financieros y el valor del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si a éste hubiere lugar, o a continuar cotizando hasta alcanzar el derecho. </w:t>
      </w:r>
      <w:hyperlink r:id="rId106"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67.-Exigibilidad de los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kern w:val="0"/>
          <w:szCs w:val="24"/>
          <w:lang w:eastAsia="es-ES"/>
        </w:rPr>
        <w:t xml:space="preserve">. Los afiliados que tengan derecho a recibir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sólo podrán hacer efectivos dichos bonos, a partir de la fecha en la cual cumplan las edades para acceso a la pensión, previstas en el artículo 65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68.-Financiación de la pensión de vejez</w:t>
      </w:r>
      <w:r w:rsidRPr="00186F49">
        <w:rPr>
          <w:rFonts w:ascii="Arial" w:eastAsia="Times New Roman" w:hAnsi="Arial" w:cs="Arial"/>
          <w:kern w:val="0"/>
          <w:szCs w:val="24"/>
          <w:lang w:eastAsia="es-ES"/>
        </w:rPr>
        <w:t xml:space="preserve">. Las pensiones de vejez se financiarán con los recursos de las cuentas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con el valor de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cuando a ello hubiere lugar, y con el aporte de la </w:t>
      </w:r>
      <w:r w:rsidRPr="00186F49">
        <w:rPr>
          <w:rFonts w:ascii="Arial" w:eastAsia="Times New Roman" w:hAnsi="Arial" w:cs="Arial"/>
          <w:kern w:val="0"/>
          <w:szCs w:val="24"/>
          <w:lang w:eastAsia="es-ES"/>
        </w:rPr>
        <w:lastRenderedPageBreak/>
        <w:t xml:space="preserve">Nación en los casos en que se cumplan los requisitos correspondientes para la garantía de pensión mínima. </w:t>
      </w:r>
      <w:hyperlink r:id="rId107"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invalidez por riesgo común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5" w:name="BM69"/>
      <w:r w:rsidRPr="00186F49">
        <w:rPr>
          <w:rFonts w:ascii="Arial" w:eastAsia="Times New Roman" w:hAnsi="Arial" w:cs="Arial"/>
          <w:b/>
          <w:bCs/>
          <w:kern w:val="0"/>
          <w:szCs w:val="24"/>
          <w:lang w:eastAsia="es-ES"/>
        </w:rPr>
        <w:t> </w:t>
      </w:r>
      <w:bookmarkEnd w:id="35"/>
      <w:r w:rsidRPr="00186F49">
        <w:rPr>
          <w:rFonts w:ascii="Arial" w:eastAsia="Times New Roman" w:hAnsi="Arial" w:cs="Arial"/>
          <w:b/>
          <w:bCs/>
          <w:kern w:val="0"/>
          <w:szCs w:val="24"/>
          <w:lang w:eastAsia="es-ES"/>
        </w:rPr>
        <w:t>69.-Pensión de invalidez</w:t>
      </w:r>
      <w:r w:rsidRPr="00186F49">
        <w:rPr>
          <w:rFonts w:ascii="Arial" w:eastAsia="Times New Roman" w:hAnsi="Arial" w:cs="Arial"/>
          <w:kern w:val="0"/>
          <w:szCs w:val="24"/>
          <w:lang w:eastAsia="es-ES"/>
        </w:rPr>
        <w:t xml:space="preserve">.   </w:t>
      </w:r>
      <w:hyperlink r:id="rId108"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El estado de invalidez, los requisitos para obtener la pensión de invalidez, el monto y el sistema de su calificación en el régimen de ahorro individual con solidaridad, se regirá por las disposiciones contenidas en los artículos 38, 39, 40 y 41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b/>
          <w:bCs/>
          <w:kern w:val="0"/>
          <w:szCs w:val="24"/>
          <w:lang w:eastAsia="es-ES"/>
        </w:rPr>
        <w:t xml:space="preserve">ARTICULO. 70.- </w:t>
      </w:r>
      <w:r w:rsidRPr="00186F49">
        <w:rPr>
          <w:rFonts w:ascii="Arial" w:eastAsia="Times New Roman" w:hAnsi="Arial" w:cs="Arial"/>
          <w:b/>
          <w:bCs/>
          <w:kern w:val="0"/>
          <w:szCs w:val="24"/>
          <w:u w:val="single"/>
          <w:lang w:eastAsia="es-ES"/>
        </w:rPr>
        <w:t>Financiación de la pensión de invalidez</w:t>
      </w:r>
      <w:r w:rsidRPr="00186F49">
        <w:rPr>
          <w:rFonts w:ascii="Arial" w:eastAsia="Times New Roman" w:hAnsi="Arial" w:cs="Arial"/>
          <w:kern w:val="0"/>
          <w:szCs w:val="24"/>
          <w:u w:val="single"/>
          <w:lang w:eastAsia="es-ES"/>
        </w:rPr>
        <w:t xml:space="preserve">. Las pensiones de invalidez se financiarán con la cuenta individual de ahorro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xml:space="preserve"> del afiliado, el bono </w:t>
      </w:r>
      <w:proofErr w:type="spellStart"/>
      <w:r w:rsidRPr="00186F49">
        <w:rPr>
          <w:rFonts w:ascii="Arial" w:eastAsia="Times New Roman" w:hAnsi="Arial" w:cs="Arial"/>
          <w:kern w:val="0"/>
          <w:szCs w:val="24"/>
          <w:u w:val="single"/>
          <w:lang w:eastAsia="es-ES"/>
        </w:rPr>
        <w:t>pensional</w:t>
      </w:r>
      <w:proofErr w:type="spellEnd"/>
      <w:r w:rsidRPr="00186F49">
        <w:rPr>
          <w:rFonts w:ascii="Arial" w:eastAsia="Times New Roman" w:hAnsi="Arial" w:cs="Arial"/>
          <w:kern w:val="0"/>
          <w:szCs w:val="24"/>
          <w:u w:val="single"/>
          <w:lang w:eastAsia="es-ES"/>
        </w:rPr>
        <w:t xml:space="preserve"> si a éste hubiere lugar, y la suma adicional que sea necesaria para completar el capital que financie el monto de la pensión. La suma adicional estará a cargo de la aseguradora con la cual se haya contratado el seguro de invalidez y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El monto acumulado en las cuentas individuales de ahorro pensionad, en virtud de cotizaciones voluntarias, no hará parte del capital para financiar las pensiones de invalidez, salvo que así lo disponga el afiliado, o cuando ello sea necesario para acceder a la pensión mínima de invalidez. El pensionado por invalidez podrá disponer del monto de las cotizaciones voluntarias no utilizado.</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Cuando de conformidad con lo previsto en el artículo 44 de la presente ley se determine la cesación del estado de invalidez, la compañía de seguros deberá reintegrar a la cuenta individual de ahorro pensionad, el saldo no utilizado de la reserva para pensiones, en la parte que corresponda a capital más los rendimientos, de la cuenta de ahorro individual y al bono pensionad.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los eventos de que trata el inciso anterior, los afiliados tendrán derecho a que el Estado les habilite como semanas cotizadas aquéllas durante las cuales gozaron de la respectiva pensión. Esta habilitación del número de semanas será aplicable sólo cuando el Estado deba pagar garantía de pensión mínima. </w:t>
      </w:r>
      <w:hyperlink r:id="rId109"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afiliado podrá contratar la pensión de invalidez con una aseguradora distinta de la que haya pagado la suma adicional a que se refiere el inciso primero de este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6" w:name="BM71"/>
      <w:r w:rsidRPr="00186F49">
        <w:rPr>
          <w:rFonts w:ascii="Arial" w:eastAsia="Times New Roman" w:hAnsi="Arial" w:cs="Arial"/>
          <w:b/>
          <w:bCs/>
          <w:kern w:val="0"/>
          <w:szCs w:val="24"/>
          <w:lang w:eastAsia="es-ES"/>
        </w:rPr>
        <w:t> </w:t>
      </w:r>
      <w:bookmarkEnd w:id="36"/>
      <w:r w:rsidRPr="00186F49">
        <w:rPr>
          <w:rFonts w:ascii="Arial" w:eastAsia="Times New Roman" w:hAnsi="Arial" w:cs="Arial"/>
          <w:b/>
          <w:bCs/>
          <w:kern w:val="0"/>
          <w:szCs w:val="24"/>
          <w:lang w:eastAsia="es-ES"/>
        </w:rPr>
        <w:t>71.-Garantía estatal de pensión mínima de invalidez.</w:t>
      </w:r>
      <w:r w:rsidRPr="00186F49">
        <w:rPr>
          <w:rFonts w:ascii="Arial" w:eastAsia="Times New Roman" w:hAnsi="Arial" w:cs="Arial"/>
          <w:kern w:val="0"/>
          <w:szCs w:val="24"/>
          <w:lang w:eastAsia="es-ES"/>
        </w:rPr>
        <w:t xml:space="preserve">   </w:t>
      </w:r>
      <w:hyperlink r:id="rId110"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En desarrollo del principio de solidaridad, el Estado garantizará los recursos necesarios para que los afiliados al régimen de ahorro individual con solidaridad, tengan acceso a una pensión mínima de invalidez, cuyo monto mensual será equivalente al salario mínimo legal mensual conforme a lo establecido en el artículo 35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La garantía estatal de pensión mínima operará de conformidad con lo previsto en los artículos 83 y 84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72.-Devolución de saldos por invalidez</w:t>
      </w:r>
      <w:r w:rsidRPr="00186F49">
        <w:rPr>
          <w:rFonts w:ascii="Arial" w:eastAsia="Times New Roman" w:hAnsi="Arial" w:cs="Arial"/>
          <w:kern w:val="0"/>
          <w:szCs w:val="24"/>
          <w:lang w:eastAsia="es-ES"/>
        </w:rPr>
        <w:t>. Cuando el afiliado se invalide sin cumplir con los requisitos para acceder a una pensión de invalidez, se le entregará la totalidad del saldo abonado en su cuenta individual de ahorro pensionad, incluidos los rendimientos financieros y adicionado con el valor del bono pensionad si a ello hubiera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No obstante, el afiliado podrá mantener un saldo en la cuenta individual de ahorro pensionad y cotizar para constituir el capital necesario para acceder a una pensión de vejez.</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11"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73.-Requisitos y monto</w:t>
      </w:r>
      <w:r w:rsidRPr="00186F49">
        <w:rPr>
          <w:rFonts w:ascii="Arial" w:eastAsia="Times New Roman" w:hAnsi="Arial" w:cs="Arial"/>
          <w:kern w:val="0"/>
          <w:szCs w:val="24"/>
          <w:lang w:eastAsia="es-ES"/>
        </w:rPr>
        <w:t xml:space="preserve">. Los requisitos para obtener la pensión de sobrevivientes en el régimen de capitalización individual con solidaridad así como su monto, se regirán por las disposiciones contenidas en los artículos 46 y 48 de la presente ley. </w:t>
      </w:r>
      <w:hyperlink r:id="rId112"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7" w:name="BM74"/>
      <w:r w:rsidRPr="00186F49">
        <w:rPr>
          <w:rFonts w:ascii="Arial" w:eastAsia="Times New Roman" w:hAnsi="Arial" w:cs="Arial"/>
          <w:b/>
          <w:bCs/>
          <w:kern w:val="0"/>
          <w:szCs w:val="24"/>
          <w:lang w:eastAsia="es-ES"/>
        </w:rPr>
        <w:t> </w:t>
      </w:r>
      <w:bookmarkEnd w:id="37"/>
      <w:r w:rsidRPr="00186F49">
        <w:rPr>
          <w:rFonts w:ascii="Arial" w:eastAsia="Times New Roman" w:hAnsi="Arial" w:cs="Arial"/>
          <w:b/>
          <w:bCs/>
          <w:kern w:val="0"/>
          <w:szCs w:val="24"/>
          <w:lang w:eastAsia="es-ES"/>
        </w:rPr>
        <w:t>74.-</w:t>
      </w:r>
      <w:r w:rsidRPr="00186F49">
        <w:rPr>
          <w:rFonts w:ascii="Arial" w:eastAsia="Times New Roman" w:hAnsi="Arial" w:cs="Arial"/>
          <w:kern w:val="0"/>
          <w:szCs w:val="24"/>
          <w:lang w:eastAsia="es-ES"/>
        </w:rPr>
        <w:t xml:space="preserve"> </w:t>
      </w:r>
      <w:hyperlink r:id="rId113" w:anchor="13" w:history="1">
        <w:r w:rsidRPr="00186F49">
          <w:rPr>
            <w:rFonts w:ascii="Arial" w:eastAsia="Times New Roman" w:hAnsi="Arial" w:cs="Arial"/>
            <w:color w:val="0000FF"/>
            <w:kern w:val="0"/>
            <w:szCs w:val="24"/>
            <w:u w:val="single"/>
            <w:lang w:eastAsia="es-ES"/>
          </w:rPr>
          <w:t>Modificado por el art. 13, Ley 797 de 2003</w:t>
        </w:r>
      </w:hyperlink>
      <w:r w:rsidRPr="00186F49">
        <w:rPr>
          <w:rFonts w:ascii="Arial" w:eastAsia="Times New Roman" w:hAnsi="Arial" w:cs="Arial"/>
          <w:b/>
          <w:bCs/>
          <w:kern w:val="0"/>
          <w:szCs w:val="24"/>
          <w:lang w:eastAsia="es-ES"/>
        </w:rPr>
        <w:t xml:space="preserve"> Beneficiarios de la pensión de sobrevivientes</w:t>
      </w:r>
      <w:r w:rsidRPr="00186F49">
        <w:rPr>
          <w:rFonts w:ascii="Arial" w:eastAsia="Times New Roman" w:hAnsi="Arial" w:cs="Arial"/>
          <w:kern w:val="0"/>
          <w:szCs w:val="24"/>
          <w:lang w:eastAsia="es-ES"/>
        </w:rPr>
        <w:t>.  </w:t>
      </w:r>
      <w:hyperlink r:id="rId114"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Son beneficiarios de la pensión de sobrevivientes: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En forma vitalicia, el cónyuge o la compañera o compañero permanente supérstite.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caso de que la pensión de sobrevivencia se cause por muerte del pensionado, el cónyuge o la compañera o compañero permanente supérstite, deberá acreditar que estuvo haciendo vida marital con el causante </w:t>
      </w:r>
      <w:r w:rsidRPr="00186F49">
        <w:rPr>
          <w:rFonts w:ascii="Arial" w:eastAsia="Times New Roman" w:hAnsi="Arial" w:cs="Arial"/>
          <w:b/>
          <w:bCs/>
          <w:kern w:val="0"/>
          <w:szCs w:val="24"/>
          <w:lang w:eastAsia="es-ES"/>
        </w:rPr>
        <w:t>por lo menos desde el momento en que éste cumplió con los requisitos para tener derecho a una pensión de vejez o invalidez</w:t>
      </w:r>
      <w:r w:rsidRPr="00186F49">
        <w:rPr>
          <w:rFonts w:ascii="Arial" w:eastAsia="Times New Roman" w:hAnsi="Arial" w:cs="Arial"/>
          <w:kern w:val="0"/>
          <w:szCs w:val="24"/>
          <w:lang w:eastAsia="es-ES"/>
        </w:rPr>
        <w:t>, hasta su muerte y haya convivido con el fallecido no menos de dos (2) años continuos con anterioridad a su muerte, salvo, que haya procreado uno o más hijos con el pensionado fallecido;</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(El texto en negrilla fue declarado inexequible por la Corte Constitucional en Sentencia C-1176 de 2001).</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Los hijos menores de 18 años; los hijos mayores de 18 años y hasta los 25 años, incapacitados para trabajar por razón de sus estudios y si dependían económicamente del causante al momento de su muerte; y, los hijos inválidos si dependían económicamente del causante, mientras subsistan las condiciones de invalidez,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c)  A falta de cónyuge, compañero o compañera permanente e hijos con derecho, serán beneficiarios los padres del causante si dependían económicamente de éste.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15" w:anchor="0" w:history="1">
        <w:r w:rsidRPr="00186F49">
          <w:rPr>
            <w:rFonts w:ascii="Arial" w:eastAsia="Times New Roman" w:hAnsi="Arial" w:cs="Arial"/>
            <w:color w:val="0000FF"/>
            <w:kern w:val="0"/>
            <w:szCs w:val="24"/>
            <w:u w:val="single"/>
            <w:lang w:eastAsia="es-ES"/>
          </w:rPr>
          <w:t>Ver la Ley 1204 de 2008</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8" w:name="BM75"/>
      <w:r w:rsidRPr="00186F49">
        <w:rPr>
          <w:rFonts w:ascii="Arial" w:eastAsia="Times New Roman" w:hAnsi="Arial" w:cs="Arial"/>
          <w:b/>
          <w:bCs/>
          <w:kern w:val="0"/>
          <w:szCs w:val="24"/>
          <w:lang w:eastAsia="es-ES"/>
        </w:rPr>
        <w:t> </w:t>
      </w:r>
      <w:bookmarkEnd w:id="38"/>
      <w:r w:rsidRPr="00186F49">
        <w:rPr>
          <w:rFonts w:ascii="Arial" w:eastAsia="Times New Roman" w:hAnsi="Arial" w:cs="Arial"/>
          <w:b/>
          <w:bCs/>
          <w:kern w:val="0"/>
          <w:szCs w:val="24"/>
          <w:lang w:eastAsia="es-ES"/>
        </w:rPr>
        <w:t>75.-Garantía estatal de pensión mínima de sobrevivientes</w:t>
      </w:r>
      <w:r w:rsidRPr="00186F49">
        <w:rPr>
          <w:rFonts w:ascii="Arial" w:eastAsia="Times New Roman" w:hAnsi="Arial" w:cs="Arial"/>
          <w:kern w:val="0"/>
          <w:szCs w:val="24"/>
          <w:lang w:eastAsia="es-ES"/>
        </w:rPr>
        <w:t>.  </w:t>
      </w:r>
      <w:hyperlink r:id="rId116"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En desarrollo del principio de solidaridad, el Estado garantiza el complemento para que los sobrevivientes tengan acceso a una pensión mínima de sobrevivientes, cuyo monto mensual será equivalente al 100% del salario mínimo legal mensual conforme a lo establecido en el artículo 35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76.-Inexistencia de beneficiarios</w:t>
      </w:r>
      <w:r w:rsidRPr="00186F49">
        <w:rPr>
          <w:rFonts w:ascii="Arial" w:eastAsia="Times New Roman" w:hAnsi="Arial" w:cs="Arial"/>
          <w:kern w:val="0"/>
          <w:szCs w:val="24"/>
          <w:lang w:eastAsia="es-ES"/>
        </w:rPr>
        <w:t xml:space="preserve">. En caso de que a la muerte del afiliado o pensionado, no hubiere beneficiarios de la pensión de sobrevivientes, las sumas acumuladas en la cuenta individual de ahorro pensionad, harán parte de la masa </w:t>
      </w:r>
      <w:proofErr w:type="spellStart"/>
      <w:r w:rsidRPr="00186F49">
        <w:rPr>
          <w:rFonts w:ascii="Arial" w:eastAsia="Times New Roman" w:hAnsi="Arial" w:cs="Arial"/>
          <w:kern w:val="0"/>
          <w:szCs w:val="24"/>
          <w:lang w:eastAsia="es-ES"/>
        </w:rPr>
        <w:t>sucesoral</w:t>
      </w:r>
      <w:proofErr w:type="spellEnd"/>
      <w:r w:rsidRPr="00186F49">
        <w:rPr>
          <w:rFonts w:ascii="Arial" w:eastAsia="Times New Roman" w:hAnsi="Arial" w:cs="Arial"/>
          <w:kern w:val="0"/>
          <w:szCs w:val="24"/>
          <w:lang w:eastAsia="es-ES"/>
        </w:rPr>
        <w:t xml:space="preserve"> de bienes del causante.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caso de que no haya causahabientes hasta el quinto orden hereditario, la suma acumulada en la cuenta individual de ahorro pensionad se destinará al fondo de solidaridad pensionad de que trata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17"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b/>
          <w:bCs/>
          <w:kern w:val="0"/>
          <w:szCs w:val="24"/>
          <w:lang w:eastAsia="es-ES"/>
        </w:rPr>
        <w:t xml:space="preserve">ARTICULO. 77.- </w:t>
      </w:r>
      <w:r w:rsidRPr="00186F49">
        <w:rPr>
          <w:rFonts w:ascii="Arial" w:eastAsia="Times New Roman" w:hAnsi="Arial" w:cs="Arial"/>
          <w:b/>
          <w:bCs/>
          <w:kern w:val="0"/>
          <w:szCs w:val="24"/>
          <w:u w:val="single"/>
          <w:lang w:eastAsia="es-ES"/>
        </w:rPr>
        <w:t>Financiación de las pensiones de sobrevivientes.</w:t>
      </w:r>
      <w:r w:rsidRPr="00186F49">
        <w:rPr>
          <w:rFonts w:ascii="Arial" w:eastAsia="Times New Roman" w:hAnsi="Arial" w:cs="Arial"/>
          <w:kern w:val="0"/>
          <w:szCs w:val="24"/>
          <w:u w:val="single"/>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1. La pensión de sobrevivientes originada por la muerte del afiliado, se financiará con los recursos de la cuenta individual de ahorro pensionad generados por cotizaciones obligatorias, el bono pensionad si a ello hubiere lugar, y con la suma adicional que sea necesaria para completar el capital que financie el monto de la pensión. Dicha suma adicional estará a cargo de la aseguradora.</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 xml:space="preserve">El monto acumulado en las cuentas individuales de ahorro pensionad, en razón de cotizaciones voluntarias, no integrará el capital para financiar las pensiones de sobrevivientes generadas por muerte de un afiliado, salvo cuando ello sea necesario para acceder a la pensión mínima de sobrevivientes. Dicho monto podrá utilizarse para incrementar el valor de la pensión, si el afiliado así lo hubiere estipulado o los beneficiarios lo acuerdan. En caso contrario hará parte la masa </w:t>
      </w:r>
      <w:proofErr w:type="spellStart"/>
      <w:r w:rsidRPr="00186F49">
        <w:rPr>
          <w:rFonts w:ascii="Arial" w:eastAsia="Times New Roman" w:hAnsi="Arial" w:cs="Arial"/>
          <w:kern w:val="0"/>
          <w:szCs w:val="24"/>
          <w:u w:val="single"/>
          <w:lang w:eastAsia="es-ES"/>
        </w:rPr>
        <w:t>sucesoral</w:t>
      </w:r>
      <w:proofErr w:type="spellEnd"/>
      <w:r w:rsidRPr="00186F49">
        <w:rPr>
          <w:rFonts w:ascii="Arial" w:eastAsia="Times New Roman" w:hAnsi="Arial" w:cs="Arial"/>
          <w:kern w:val="0"/>
          <w:szCs w:val="24"/>
          <w:u w:val="single"/>
          <w:lang w:eastAsia="es-ES"/>
        </w:rPr>
        <w:t xml:space="preserve"> del causante.</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2.  Las pensiones de sobrevivientes causadas por la muerte de un pensionado, se financian con los recursos previstos para el pago de la pensión de vejez o invalidez, según el caso, que estuviese recibiendo el causante al momento de su fallecimiento.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la pensión de sobrevivientes sea generada por muerte de un pensionado acogido a la modalidad de retiro programado o retiro programado con renta vitalicia diferida, el exceso del saldo de la cuenta individual de ahorro </w:t>
      </w:r>
      <w:r w:rsidRPr="00186F49">
        <w:rPr>
          <w:rFonts w:ascii="Arial" w:eastAsia="Times New Roman" w:hAnsi="Arial" w:cs="Arial"/>
          <w:kern w:val="0"/>
          <w:szCs w:val="24"/>
          <w:lang w:eastAsia="es-ES"/>
        </w:rPr>
        <w:lastRenderedPageBreak/>
        <w:t xml:space="preserve">pensionad sobre el capital necesario para financiar la pensión de sobrevivientes, podrá utilizarse para incrementar el valor de la pensión, si el afiliado así lo hubiere estipulado o los beneficiarios lo acuerdan. En caso contrario hará parte la masa </w:t>
      </w:r>
      <w:proofErr w:type="spellStart"/>
      <w:r w:rsidRPr="00186F49">
        <w:rPr>
          <w:rFonts w:ascii="Arial" w:eastAsia="Times New Roman" w:hAnsi="Arial" w:cs="Arial"/>
          <w:kern w:val="0"/>
          <w:szCs w:val="24"/>
          <w:lang w:eastAsia="es-ES"/>
        </w:rPr>
        <w:t>sucesoral</w:t>
      </w:r>
      <w:proofErr w:type="spellEnd"/>
      <w:r w:rsidRPr="00186F49">
        <w:rPr>
          <w:rFonts w:ascii="Arial" w:eastAsia="Times New Roman" w:hAnsi="Arial" w:cs="Arial"/>
          <w:kern w:val="0"/>
          <w:szCs w:val="24"/>
          <w:lang w:eastAsia="es-ES"/>
        </w:rPr>
        <w:t xml:space="preserve"> del causante.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18"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.-Los sobrevivientes del afiliado podrán contratar la pensión de sobrevivientes con una aseguradora distinta de la que haya pagado la suma adicional a que se refiere el inciso primero de este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78.-Devolución de saldos</w:t>
      </w:r>
      <w:r w:rsidRPr="00186F49">
        <w:rPr>
          <w:rFonts w:ascii="Arial" w:eastAsia="Times New Roman" w:hAnsi="Arial" w:cs="Arial"/>
          <w:kern w:val="0"/>
          <w:szCs w:val="24"/>
          <w:lang w:eastAsia="es-ES"/>
        </w:rPr>
        <w:t xml:space="preserve">. Cuando el afiliado fallezca sin cumplir con los requisitos para causar una pensión de sobrevivientes, se le entregará a sus beneficiarios la totalidad del saldo abonado en su cuenta individual de ahorro pensionad, incluidos los rendimientos, y el valor del bono pensionad si a éste hubiera lugar. </w:t>
      </w:r>
      <w:hyperlink r:id="rId119"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Modalidades de pensión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39" w:name="BM79"/>
      <w:r w:rsidRPr="00186F49">
        <w:rPr>
          <w:rFonts w:ascii="Arial" w:eastAsia="Times New Roman" w:hAnsi="Arial" w:cs="Arial"/>
          <w:b/>
          <w:bCs/>
          <w:kern w:val="0"/>
          <w:szCs w:val="24"/>
          <w:lang w:eastAsia="es-ES"/>
        </w:rPr>
        <w:t> </w:t>
      </w:r>
      <w:bookmarkEnd w:id="39"/>
      <w:r w:rsidRPr="00186F49">
        <w:rPr>
          <w:rFonts w:ascii="Arial" w:eastAsia="Times New Roman" w:hAnsi="Arial" w:cs="Arial"/>
          <w:b/>
          <w:bCs/>
          <w:kern w:val="0"/>
          <w:szCs w:val="24"/>
          <w:lang w:eastAsia="es-ES"/>
        </w:rPr>
        <w:t>79.-Modalidades de las pensiones de vejez, de invalidez y de sobrevivientes.</w:t>
      </w:r>
      <w:r w:rsidRPr="00186F49">
        <w:rPr>
          <w:rFonts w:ascii="Arial" w:eastAsia="Times New Roman" w:hAnsi="Arial" w:cs="Arial"/>
          <w:kern w:val="0"/>
          <w:szCs w:val="24"/>
          <w:lang w:eastAsia="es-ES"/>
        </w:rPr>
        <w:t>  </w:t>
      </w:r>
      <w:hyperlink r:id="rId120"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Las pensiones de vejez, de invalidez y de sobrevivientes, podrán adoptar una de las siguientes modalidades, a elección del afiliado o de los beneficiarios, según el caso: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Renta vitalicia inmediata;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Retiro programado;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Retiro programado con renta vitalicia diferida, 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Las demás que autorice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80.-Renta vitalicia inmediata. </w:t>
      </w:r>
      <w:r w:rsidRPr="00186F49">
        <w:rPr>
          <w:rFonts w:ascii="Arial" w:eastAsia="Times New Roman" w:hAnsi="Arial" w:cs="Arial"/>
          <w:kern w:val="0"/>
          <w:szCs w:val="24"/>
          <w:lang w:eastAsia="es-ES"/>
        </w:rPr>
        <w:t>La renta vitalicia inmediata, es la modalidad de pensión mediante la cual el afiliado o beneficiario contrata directa e irrevocablemente con la aseguradora de su elección, el pago de una renta mensual hasta su fallecimiento y el pago de pensiones de sobrevivientes en favor de sus beneficiarios por el tiempo a que ellos tengan derecho. Dichas rentas y pensiones deben ser uniformes en términos de poder adquisitivo constante y no pueden ser contratadas por valores inferiores a la pensión mínima vigente del momento.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administradora a la que hubiere estado cotizando el afiliado al momento de cumplir con las condiciones para la obtención de una pensión, será la encargada de efectuar, a nombre del pensionado, los trámites o reclamaciones que se requieran, ante la respectiva aseguradora.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w:t>
      </w:r>
      <w:bookmarkStart w:id="40" w:name="BM81"/>
      <w:r w:rsidRPr="00186F49">
        <w:rPr>
          <w:rFonts w:ascii="Arial" w:eastAsia="Times New Roman" w:hAnsi="Arial" w:cs="Arial"/>
          <w:b/>
          <w:bCs/>
          <w:kern w:val="0"/>
          <w:szCs w:val="24"/>
          <w:lang w:eastAsia="es-ES"/>
        </w:rPr>
        <w:t> </w:t>
      </w:r>
      <w:bookmarkEnd w:id="40"/>
      <w:r w:rsidRPr="00186F49">
        <w:rPr>
          <w:rFonts w:ascii="Arial" w:eastAsia="Times New Roman" w:hAnsi="Arial" w:cs="Arial"/>
          <w:b/>
          <w:bCs/>
          <w:kern w:val="0"/>
          <w:szCs w:val="24"/>
          <w:lang w:eastAsia="es-ES"/>
        </w:rPr>
        <w:t>81.-Retiro programado</w:t>
      </w:r>
      <w:r w:rsidRPr="00186F49">
        <w:rPr>
          <w:rFonts w:ascii="Arial" w:eastAsia="Times New Roman" w:hAnsi="Arial" w:cs="Arial"/>
          <w:kern w:val="0"/>
          <w:szCs w:val="24"/>
          <w:lang w:eastAsia="es-ES"/>
        </w:rPr>
        <w:t>.  </w:t>
      </w:r>
      <w:hyperlink r:id="rId121"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El retiro programado es la modalidad de pensión en la cual el afiliado o los beneficiarios, obtienen su pensión de la sociedad administradora, con cargo a su cuenta individual de ahorro pensionad y al bono pensionad a que hubiera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Para estos efectos, se calcula cada año una anualidad en unidades de valor constante, igual al resultado de dividir el saldo de su cuenta de ahorro y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por el capital necesario para financiar una unidad de renta vitalicia para el afiliado y sus beneficiarios. La pensión mensual corresponderá a la doceava parte de dicha anualidad.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saldo de la cuenta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mientras el afiliado disfruta de una pensión por retiro programado, no podrá ser inferior al capital requerido para financiar al afiliado y sus beneficiarios una renta vitalicia de un salario mínimo legal mensual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 dispuesto en el inciso anterior, no será aplicable cuando el capital ahorrado más el bono pensionad si hubiere lugar a él, conduzcan a una pensión inferior a la mínima, y el afiliado no tenga acceso a la garantía estatal de pensión mínima.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no hubiere beneficiarios, los saldos que queden en la cuenta de ahorro al fallecer un afiliado que esté disfrutando una pensión por retiro programado, acrecentarán la masa </w:t>
      </w:r>
      <w:proofErr w:type="spellStart"/>
      <w:r w:rsidRPr="00186F49">
        <w:rPr>
          <w:rFonts w:ascii="Arial" w:eastAsia="Times New Roman" w:hAnsi="Arial" w:cs="Arial"/>
          <w:kern w:val="0"/>
          <w:szCs w:val="24"/>
          <w:lang w:eastAsia="es-ES"/>
        </w:rPr>
        <w:t>sucesoral</w:t>
      </w:r>
      <w:proofErr w:type="spellEnd"/>
      <w:r w:rsidRPr="00186F49">
        <w:rPr>
          <w:rFonts w:ascii="Arial" w:eastAsia="Times New Roman" w:hAnsi="Arial" w:cs="Arial"/>
          <w:kern w:val="0"/>
          <w:szCs w:val="24"/>
          <w:lang w:eastAsia="es-ES"/>
        </w:rPr>
        <w:t>. Si no hubiere causahabientes, dichas sumas se destinarán al financiamiento de la garantía estatal de pensión mínima.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22" w:anchor="1" w:history="1">
        <w:r w:rsidRPr="00186F49">
          <w:rPr>
            <w:rFonts w:ascii="Arial" w:eastAsia="Times New Roman" w:hAnsi="Arial" w:cs="Arial"/>
            <w:color w:val="0000FF"/>
            <w:kern w:val="0"/>
            <w:szCs w:val="24"/>
            <w:u w:val="single"/>
            <w:lang w:eastAsia="es-ES"/>
          </w:rPr>
          <w:t>Ver Decreto Nacional 1260 de 2000</w:t>
        </w:r>
      </w:hyperlink>
      <w:r w:rsidRPr="00186F49">
        <w:rPr>
          <w:rFonts w:ascii="Arial" w:eastAsia="Times New Roman" w:hAnsi="Arial" w:cs="Arial"/>
          <w:kern w:val="0"/>
          <w:szCs w:val="24"/>
          <w:lang w:eastAsia="es-ES"/>
        </w:rPr>
        <w:t xml:space="preserve"> , </w:t>
      </w:r>
      <w:hyperlink r:id="rId123"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82.- </w:t>
      </w:r>
      <w:r w:rsidRPr="00186F49">
        <w:rPr>
          <w:rFonts w:ascii="Arial" w:eastAsia="Times New Roman" w:hAnsi="Arial" w:cs="Arial"/>
          <w:b/>
          <w:bCs/>
          <w:kern w:val="0"/>
          <w:szCs w:val="24"/>
          <w:u w:val="single"/>
          <w:lang w:eastAsia="es-ES"/>
        </w:rPr>
        <w:t>Retiro programado con renta vitalicia diferida.</w:t>
      </w:r>
      <w:r w:rsidRPr="00186F49">
        <w:rPr>
          <w:rFonts w:ascii="Arial" w:eastAsia="Times New Roman" w:hAnsi="Arial" w:cs="Arial"/>
          <w:kern w:val="0"/>
          <w:szCs w:val="24"/>
          <w:u w:val="single"/>
          <w:lang w:eastAsia="es-ES"/>
        </w:rPr>
        <w:t xml:space="preserve"> El retiro programado con renta vitalicia diferida, es la modalidad de pensión por la cual un afiliado contrata con la aseguradora de su elección, una renta vitalicia con el fin de recibir pagos mensuales a partir de una fecha determinada, reteniendo en su cuenta individual de ahorro pensionad, los fondos suficientes para obtener de la administradora un retiro programado, durante el período que medie entre la fecha en que ejerce la opción por esta modalidad y la fecha en que la renta vitalicia diferida comience a ser pagada por la aseguradora. </w:t>
      </w:r>
      <w:r w:rsidRPr="00186F49">
        <w:rPr>
          <w:rFonts w:ascii="Arial" w:eastAsia="Times New Roman" w:hAnsi="Arial" w:cs="Arial"/>
          <w:kern w:val="0"/>
          <w:szCs w:val="24"/>
          <w:lang w:eastAsia="es-ES"/>
        </w:rPr>
        <w:t xml:space="preserve">La renta vitalicia diferida contratada tampoco podrá en este caso, ser inferior a la pensión mínima de vejez vigente. </w:t>
      </w:r>
      <w:hyperlink r:id="rId124"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Características generales de las pensiones mínimas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1" w:name="BM83"/>
      <w:r w:rsidRPr="00186F49">
        <w:rPr>
          <w:rFonts w:ascii="Arial" w:eastAsia="Times New Roman" w:hAnsi="Arial" w:cs="Arial"/>
          <w:b/>
          <w:bCs/>
          <w:kern w:val="0"/>
          <w:szCs w:val="24"/>
          <w:lang w:eastAsia="es-ES"/>
        </w:rPr>
        <w:t> </w:t>
      </w:r>
      <w:bookmarkEnd w:id="41"/>
      <w:r w:rsidRPr="00186F49">
        <w:rPr>
          <w:rFonts w:ascii="Arial" w:eastAsia="Times New Roman" w:hAnsi="Arial" w:cs="Arial"/>
          <w:b/>
          <w:bCs/>
          <w:kern w:val="0"/>
          <w:szCs w:val="24"/>
          <w:lang w:eastAsia="es-ES"/>
        </w:rPr>
        <w:t>83.-Pago de la garantía</w:t>
      </w:r>
      <w:r w:rsidRPr="00186F49">
        <w:rPr>
          <w:rFonts w:ascii="Arial" w:eastAsia="Times New Roman" w:hAnsi="Arial" w:cs="Arial"/>
          <w:kern w:val="0"/>
          <w:szCs w:val="24"/>
          <w:lang w:eastAsia="es-ES"/>
        </w:rPr>
        <w:t>.  </w:t>
      </w:r>
      <w:hyperlink r:id="rId125"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xml:space="preserve">. Para las personas que tienen acceso a las garantías estatales de pensión mínima, tales garantías se pagarán a partir del momento en el cual la anualidad resultante del cálculo de retiro programado </w:t>
      </w:r>
      <w:r w:rsidRPr="00186F49">
        <w:rPr>
          <w:rFonts w:ascii="Arial" w:eastAsia="Times New Roman" w:hAnsi="Arial" w:cs="Arial"/>
          <w:kern w:val="0"/>
          <w:szCs w:val="24"/>
          <w:lang w:eastAsia="es-ES"/>
        </w:rPr>
        <w:lastRenderedPageBreak/>
        <w:t>sea inferior a doce veces la pensión mínima vigente, o cuando la renta vitalicia a contratar con el capital disponible, sea inferior a la pensión mínima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administradora o la compañía de seguros que tenga a su cargo las pensiones, cualquiera sea la modalidad de pensión, será la encargada de efectuar, a nombre del pensionado, los trámites necesarios para que se hagan efectivas las garantías de pensión mínima.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2" w:name="BM84"/>
      <w:r w:rsidRPr="00186F49">
        <w:rPr>
          <w:rFonts w:ascii="Arial" w:eastAsia="Times New Roman" w:hAnsi="Arial" w:cs="Arial"/>
          <w:b/>
          <w:bCs/>
          <w:kern w:val="0"/>
          <w:szCs w:val="24"/>
          <w:lang w:eastAsia="es-ES"/>
        </w:rPr>
        <w:t> </w:t>
      </w:r>
      <w:bookmarkEnd w:id="42"/>
      <w:r w:rsidRPr="00186F49">
        <w:rPr>
          <w:rFonts w:ascii="Arial" w:eastAsia="Times New Roman" w:hAnsi="Arial" w:cs="Arial"/>
          <w:b/>
          <w:bCs/>
          <w:kern w:val="0"/>
          <w:szCs w:val="24"/>
          <w:lang w:eastAsia="es-ES"/>
        </w:rPr>
        <w:t>84.-Excepción a la garantía de pensión mínima</w:t>
      </w:r>
      <w:r w:rsidRPr="00186F49">
        <w:rPr>
          <w:rFonts w:ascii="Arial" w:eastAsia="Times New Roman" w:hAnsi="Arial" w:cs="Arial"/>
          <w:kern w:val="0"/>
          <w:szCs w:val="24"/>
          <w:lang w:eastAsia="es-ES"/>
        </w:rPr>
        <w:t>.  </w:t>
      </w:r>
      <w:hyperlink r:id="rId126" w:anchor="0" w:history="1">
        <w:r w:rsidRPr="00186F49">
          <w:rPr>
            <w:rFonts w:ascii="Arial" w:eastAsia="Times New Roman" w:hAnsi="Arial" w:cs="Arial"/>
            <w:color w:val="0000FF"/>
            <w:kern w:val="0"/>
            <w:szCs w:val="24"/>
            <w:u w:val="single"/>
            <w:lang w:eastAsia="es-ES"/>
          </w:rPr>
          <w:t>Reglamentado parcialmente por el Decreto Nacional 832 de 1996</w:t>
        </w:r>
      </w:hyperlink>
      <w:r w:rsidRPr="00186F49">
        <w:rPr>
          <w:rFonts w:ascii="Arial" w:eastAsia="Times New Roman" w:hAnsi="Arial" w:cs="Arial"/>
          <w:kern w:val="0"/>
          <w:szCs w:val="24"/>
          <w:lang w:eastAsia="es-ES"/>
        </w:rPr>
        <w:t>. Cuando la suma de las pensiones, rentas y remuneraciones que recibe el afiliado o los beneficiarios, según el caso, sea superior a lo que le correspondería como pensión mínima, no habrá lugar a la garantía estatal de pensión mínima.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Prestaciones y beneficios adicionales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85.-Excedentes de libre disponibilidad.</w:t>
      </w:r>
      <w:r w:rsidRPr="00186F49">
        <w:rPr>
          <w:rFonts w:ascii="Arial" w:eastAsia="Times New Roman" w:hAnsi="Arial" w:cs="Arial"/>
          <w:kern w:val="0"/>
          <w:szCs w:val="24"/>
          <w:lang w:eastAsia="es-ES"/>
        </w:rPr>
        <w:t xml:space="preserve"> Será de libre disponibilidad, desde el momento en que el afiliado opte por contratar una pensión, el saldo de la cuenta individual de ahorro pensionad, más el bono pensionad, si a ello hubiere lugar, que exceda del capital requerido para que el afiliado convenga una pensión que cumpla con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Que la renta vitalicia inmediata o diferida contratada, o el monto del retiro programado, sea mayor o igual al setenta por ciento (70%) del ingreso base de liquidación, y no podrá exceder de quince (15) veces la pensión mínima vigente en la fecha respectiva,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Que la renta vitalicia inmediata, o el monto del retiro programado, sea mayor o igual al ciento diez por ciento (110%) de la pensión mínima legal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27"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3" w:name="BM86"/>
      <w:r w:rsidRPr="00186F49">
        <w:rPr>
          <w:rFonts w:ascii="Arial" w:eastAsia="Times New Roman" w:hAnsi="Arial" w:cs="Arial"/>
          <w:b/>
          <w:bCs/>
          <w:kern w:val="0"/>
          <w:szCs w:val="24"/>
          <w:lang w:eastAsia="es-ES"/>
        </w:rPr>
        <w:t> </w:t>
      </w:r>
      <w:bookmarkEnd w:id="43"/>
      <w:r w:rsidRPr="00186F49">
        <w:rPr>
          <w:rFonts w:ascii="Arial" w:eastAsia="Times New Roman" w:hAnsi="Arial" w:cs="Arial"/>
          <w:b/>
          <w:bCs/>
          <w:kern w:val="0"/>
          <w:szCs w:val="24"/>
          <w:lang w:eastAsia="es-ES"/>
        </w:rPr>
        <w:t>86.-Auxilio funerario</w:t>
      </w:r>
      <w:r w:rsidRPr="00186F49">
        <w:rPr>
          <w:rFonts w:ascii="Arial" w:eastAsia="Times New Roman" w:hAnsi="Arial" w:cs="Arial"/>
          <w:kern w:val="0"/>
          <w:szCs w:val="24"/>
          <w:lang w:eastAsia="es-ES"/>
        </w:rPr>
        <w:t>.  </w:t>
      </w:r>
      <w:hyperlink r:id="rId128" w:anchor="0" w:history="1">
        <w:r w:rsidRPr="00186F49">
          <w:rPr>
            <w:rFonts w:ascii="Arial" w:eastAsia="Times New Roman" w:hAnsi="Arial" w:cs="Arial"/>
            <w:color w:val="0000FF"/>
            <w:kern w:val="0"/>
            <w:szCs w:val="24"/>
            <w:u w:val="single"/>
            <w:lang w:eastAsia="es-ES"/>
          </w:rPr>
          <w:t>Reglamentado parcialmente por el Decreto Nacional 1889 de 1994</w:t>
        </w:r>
      </w:hyperlink>
      <w:r w:rsidRPr="00186F49">
        <w:rPr>
          <w:rFonts w:ascii="Arial" w:eastAsia="Times New Roman" w:hAnsi="Arial" w:cs="Arial"/>
          <w:kern w:val="0"/>
          <w:szCs w:val="24"/>
          <w:lang w:eastAsia="es-ES"/>
        </w:rPr>
        <w:t>. La persona que compruebe haber sufragado los gastos de entierro de un afiliado o pensionado, tendrá derecho a percibir un auxilio funerario equivalente al último salario base de cotización, o al valor correspondiente a la última mesada pensionad recibida, según sea el caso, sin que pueda ser inferior a cinco (5) salarios mínimos legales mensuales vigentes, ni superior a diez (10) veces dicho salario.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auxilio deberá ser cubierto por la respectiva administradora o aseguradora, según corresponda.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administradoras podrán repetir contra la entidad que haya otorgado el seguro de sobrevivientes respectivo, en el cual se incluirá el cubrimiento de este auxilio.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La misma acción tendrán las compañías de seguros que hayan pagado el auxilio de que trata el presente artículo y cuyo pago no les corresponda por estar amparado este evento por otra póliza diferente.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87.-Planes alternativos de capitalización y de pensiones</w:t>
      </w:r>
      <w:r w:rsidRPr="00186F49">
        <w:rPr>
          <w:rFonts w:ascii="Arial" w:eastAsia="Times New Roman" w:hAnsi="Arial" w:cs="Arial"/>
          <w:kern w:val="0"/>
          <w:szCs w:val="24"/>
          <w:lang w:eastAsia="es-ES"/>
        </w:rPr>
        <w:t>. Los afiliados al régimen de ahorro individual con solidaridad podrán optar por planes alternativos de capitalización, que sean autorizados por la Superintendencia Bancaria. Los capitales resultantes del plan básico y de dichas alternativas de capitalización, podrán estar ligados a planes alternativos de pensiones que sean autorizados por la misma superintendencia.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ejercicio de las opciones de que trata este artículo, está sujeto a que los afiliados hayan cumplido metas mínimas de capitalización. Los planes aprobados deberán permitir la movilidad entre planes, administradoras y aseguradoras, y deben separar los patrimonios y cuentas correspondientes a capitalización y seguros, en la forma que disponga la Superintendencia Bancaria. El Gobierno Nacional señalará los casos en los cuales el ingreso a planes alternativos implica la renuncia del afiliado a garantías de rentabilidad mínima o de pensión mínima.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.-Lo dispuesto en el presente artículo no exime al afiliado ni al empleador, del pago de las cotizaciones previstas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88.-De otros planes alternativos de pensiones</w:t>
      </w:r>
      <w:r w:rsidRPr="00186F49">
        <w:rPr>
          <w:rFonts w:ascii="Arial" w:eastAsia="Times New Roman" w:hAnsi="Arial" w:cs="Arial"/>
          <w:kern w:val="0"/>
          <w:szCs w:val="24"/>
          <w:lang w:eastAsia="es-ES"/>
        </w:rPr>
        <w:t>. Las sociedades administradoras de fondos de pensiones, podrán invertir en contratos de seguros de vida individuales con beneficios definidos y ajustados por inflación, las cantidades que permitan asegurar un monto de jubilación no menor al monto de la pensión mínima establecida por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Las mencionadas pólizas de seguros de vida, deberán cubrir los riesgos de invalidez y sobrevivencia y serán adquiridas con cargo a la cuenta de ahorro individual de la cual se invertirá el porcentaje necesario que garantice por lo menos la pensión mínima arriba mencionada.</w:t>
      </w:r>
      <w:r w:rsidRPr="00186F49">
        <w:rPr>
          <w:rFonts w:ascii="Arial" w:eastAsia="Times New Roman" w:hAnsi="Arial" w:cs="Arial"/>
          <w:kern w:val="0"/>
          <w:szCs w:val="24"/>
          <w:lang w:eastAsia="es-ES"/>
        </w:rPr>
        <w:t xml:space="preserve"> </w:t>
      </w:r>
      <w:hyperlink r:id="rId129"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reglamentará el porcentaje máximo del portafolio que podrán invertir los fondos de pensiones en estos tipos de pólizas.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89.-Garantía de crédito y adquisición de vivienda</w:t>
      </w:r>
      <w:r w:rsidRPr="00186F49">
        <w:rPr>
          <w:rFonts w:ascii="Arial" w:eastAsia="Times New Roman" w:hAnsi="Arial" w:cs="Arial"/>
          <w:kern w:val="0"/>
          <w:szCs w:val="24"/>
          <w:lang w:eastAsia="es-ES"/>
        </w:rPr>
        <w:t xml:space="preserve">. El afiliado que haya acumulado en su cuenta individual de ahorro pensionad el capital requerido para financiar una pensión superior al 110% de la pensión mínima de vejez, podrá emplear el exceso de dicho capital ahorrado, como garantía de créditos de vivienda y educación, de acuerdo con la reglamentación que para tal efecto se expida. </w:t>
      </w:r>
      <w:hyperlink r:id="rId130"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VIII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Administradoras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90.-Entidades administradoras</w:t>
      </w:r>
      <w:r w:rsidRPr="00186F49">
        <w:rPr>
          <w:rFonts w:ascii="Arial" w:eastAsia="Times New Roman" w:hAnsi="Arial" w:cs="Arial"/>
          <w:kern w:val="0"/>
          <w:szCs w:val="24"/>
          <w:lang w:eastAsia="es-ES"/>
        </w:rPr>
        <w:t>. Los fondos de pensiones del régimen de ahorro individual con solidaridad serán administrados por las sociedades administradoras de fondos de pensiones, cuya creación se autoriza.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sociedades que de conformidad con lo establecido en las disposiciones legales vigentes administren fondos de cesantía, están facultadas para administrar simultáneamente fondos de pensiones, previo el cumplimiento de los requisitos establecidos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de derecho público del sector central o descentralizado, de cualquier nivel territorial, podrán promover la creación o ser socias de sociedades administradoras de fondos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También podrán promover la constitución o ser socias de las sociedades administradoras de fondos de pensiones las entidades del sector social solidario, tales como cooperativas, organizaciones sindicales, fondos mutuos de inversión, bancos cooperativos, fondos de empleados y las cajas de compensación familiar.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cajas de compensación familiar directamente o a través de instituciones de economía solidaria podrán promover la creación, ser socias o propietarias de sociedades administradoras de fondos de pensiones y/o cesantía, en los términos de la ley. A efectos de lograr la democratización de la propiedad, las cajas de compensación familiar deberán ofrecer a sus trabajadores afiliados en término no mayor a cinco años la titularidad de por lo menos el 25% de las acciones que posean en las respectivas administradoras, conforme a los reglamentos. El plazo de cinco años se contará a partir de la constitución de la sociedad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cajas de compensación familiar podrán destinar recursos de sus excedentes para el pago de los aportes a las sociedades administradoras.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Las compañías de seguros podrán ser socias de las entidades a que se refiere el presente artículo, pero sólo podrán participar directamente en el régimen de ahorro individual con solidaridad mediante los planes de seguros que se adopten en esta ley.</w:t>
      </w:r>
      <w:r w:rsidRPr="00186F49">
        <w:rPr>
          <w:rFonts w:ascii="Arial" w:eastAsia="Times New Roman" w:hAnsi="Arial" w:cs="Arial"/>
          <w:kern w:val="0"/>
          <w:szCs w:val="24"/>
          <w:lang w:eastAsia="es-ES"/>
        </w:rPr>
        <w:t xml:space="preserve"> </w:t>
      </w:r>
      <w:hyperlink r:id="rId131" w:anchor="1" w:history="1">
        <w:r w:rsidRPr="00186F49">
          <w:rPr>
            <w:rFonts w:ascii="Arial" w:eastAsia="Times New Roman" w:hAnsi="Arial" w:cs="Arial"/>
            <w:color w:val="0000FF"/>
            <w:kern w:val="0"/>
            <w:szCs w:val="24"/>
            <w:u w:val="single"/>
            <w:lang w:eastAsia="es-ES"/>
          </w:rPr>
          <w:t>Subrayado Declarado Exequible Sentencia Corte Constitucional 86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91.-Requisitos de las entidades administradoras</w:t>
      </w:r>
      <w:r w:rsidRPr="00186F49">
        <w:rPr>
          <w:rFonts w:ascii="Arial" w:eastAsia="Times New Roman" w:hAnsi="Arial" w:cs="Arial"/>
          <w:kern w:val="0"/>
          <w:szCs w:val="24"/>
          <w:lang w:eastAsia="es-ES"/>
        </w:rPr>
        <w:t>. Además de los requisitos establecidos en la Ley 45 de 1990 para las sociedades de servicios financieros, las sociedades administradoras de fondos de pensiones, deberán cumplir con los siguientes requisitos especiales: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Constituirse bajo la forma de sociedades anónimas, o de instituciones solidarias;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Disponer de un patrimonio igual al cincuenta por ciento (50%) exigido para la constitución de una corporación financiera, el cual respaldará exclusivamente el desarrollo del negocio de administración de fondos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El patrimonio asignado a la administración de los fondos de pensiones previstos en esta ley, podrá estar representado en las inversiones que al efecto se autoricen, y no será computable para el cumplimiento de los requisitos patrimoniales que tenga la respectiva sociedad para el desarrollo de sus demás negocios. Del mismo, deberá llevarse contabilidad en forma separada, de conformidad con lo que sobre el particular establezca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Desde el momento de su constitución y por el término de 5 años deberán ofrecer públicamente acciones, para que las entidades del sector social solidario a que se refiere el inciso cuarto del artículo anterior, puedan llegar a suscribir mínimo el 20% de su capital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afiliados y pensionados del régimen de ahorro individual con solidaridad, de conformidad con los reglamentos, podrán ser socios de las sociedades administradoras y dicha participación será tenida en cuenta para efectos del cómputo del porcentaje referido en el inciso anterior.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porcentajes de participación que tanto el sector social solidario, como los afiliados y pensionados adquieran en la propiedad de la respectiva administradora, de conformidad con lo previsto en este literal, serán abonables o imputables a las obligaciones de oferta pública de venta de participaciones que impongan las normas de democratización, aplicables a las sociedades administradoras de fondos de pensiones y a las de pensiones y cesantías. De la misma manera se abonará el valor de las acciones que se hayan vendido por oferta pública en desarrollo de la Ley 50 de 1990 y demás normas complementarias, hasta completar el porcentaje establecido en el presente artículo sobre el total del capital exigido por la presente ley,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Disponer de capacidad humana y técnica especializada suficiente, para cumplir adecuadamente con la administración apropiada de los recursos confiados, de acuerdo con la naturaleza del plan de pensiones ofrecido.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-Las administradoras podrán ser autorizadas para constituir y administrar simultáneamente varios planes de capitalización o de pensiones dentro del régimen, siempre y cuando acrediten ante la Superintendencia Bancaria la capacidad administrativa necesaria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92.-Monto máximo de capital</w:t>
      </w:r>
      <w:r w:rsidRPr="00186F49">
        <w:rPr>
          <w:rFonts w:ascii="Arial" w:eastAsia="Times New Roman" w:hAnsi="Arial" w:cs="Arial"/>
          <w:kern w:val="0"/>
          <w:szCs w:val="24"/>
          <w:lang w:eastAsia="es-ES"/>
        </w:rPr>
        <w:t>. Con el fin de evitar la concentración económica, las sociedades que administren fondos de pensiones no podrán tener un capital superior a diez (10) veces el monto mínimo establecido.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Este límite podrá ser modificado por el Gobierno Nacional de acuerdo con la evolución del régimen.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93.-</w:t>
      </w:r>
      <w:r w:rsidRPr="00186F49">
        <w:rPr>
          <w:rFonts w:ascii="Arial" w:eastAsia="Times New Roman" w:hAnsi="Arial" w:cs="Arial"/>
          <w:kern w:val="0"/>
          <w:szCs w:val="24"/>
          <w:lang w:eastAsia="es-ES"/>
        </w:rPr>
        <w:t xml:space="preserve">Fomento para la participación en el capital social de las administradoras de fondos de pensiones. El Gobierno Nacional, con cargo a los recursos del presupuesto nacional, establecerá dentro de los 6 meses siguientes a la iniciación de la vigencia de esta ley los mecanismos de </w:t>
      </w:r>
      <w:r w:rsidRPr="00186F49">
        <w:rPr>
          <w:rFonts w:ascii="Arial" w:eastAsia="Times New Roman" w:hAnsi="Arial" w:cs="Arial"/>
          <w:kern w:val="0"/>
          <w:szCs w:val="24"/>
          <w:lang w:eastAsia="es-ES"/>
        </w:rPr>
        <w:lastRenderedPageBreak/>
        <w:t>financiación necesarios para que las entidades a que se refiere el inciso cuarto del artículo 90 de la presente ley, puedan completar los recursos que les permitan participar en el capital social de las entidades administradoras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para fijar el monto del estímulo, tendrá en cuenta la necesidad de apoyo financiero de cada entidad y la capacidad de pago para responder por el mismo.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4" w:name="94"/>
      <w:r w:rsidRPr="00186F49">
        <w:rPr>
          <w:rFonts w:ascii="Arial" w:eastAsia="Times New Roman" w:hAnsi="Arial" w:cs="Arial"/>
          <w:b/>
          <w:bCs/>
          <w:kern w:val="0"/>
          <w:szCs w:val="24"/>
          <w:lang w:eastAsia="es-ES"/>
        </w:rPr>
        <w:t> </w:t>
      </w:r>
      <w:bookmarkEnd w:id="44"/>
      <w:r w:rsidRPr="00186F49">
        <w:rPr>
          <w:rFonts w:ascii="Arial" w:eastAsia="Times New Roman" w:hAnsi="Arial" w:cs="Arial"/>
          <w:b/>
          <w:bCs/>
          <w:kern w:val="0"/>
          <w:szCs w:val="24"/>
          <w:lang w:eastAsia="es-ES"/>
        </w:rPr>
        <w:t>94.-Niveles de patrimonio</w:t>
      </w:r>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 xml:space="preserve"> </w:t>
      </w:r>
      <w:r w:rsidRPr="00186F49">
        <w:rPr>
          <w:rFonts w:ascii="Arial" w:eastAsia="Times New Roman" w:hAnsi="Arial" w:cs="Arial"/>
          <w:kern w:val="0"/>
          <w:szCs w:val="24"/>
          <w:lang w:eastAsia="es-ES"/>
        </w:rPr>
        <w:t>El Gobierno Nacional fijará la forma en la cual se garantice que las administradoras y aseguradoras mantengan niveles adecuados de patrimonio, de acuerdo a los distintos riesgos asociados a su actividad.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32" w:anchor="123" w:history="1">
        <w:r w:rsidRPr="00186F49">
          <w:rPr>
            <w:rFonts w:ascii="Arial" w:eastAsia="Times New Roman" w:hAnsi="Arial" w:cs="Arial"/>
            <w:color w:val="0000FF"/>
            <w:kern w:val="0"/>
            <w:szCs w:val="24"/>
            <w:u w:val="single"/>
            <w:lang w:eastAsia="es-ES"/>
          </w:rPr>
          <w:t>Inciso derogado por el art. 123, Ley 510 de 1999</w:t>
        </w:r>
      </w:hyperlink>
      <w:r w:rsidRPr="00186F49">
        <w:rPr>
          <w:rFonts w:ascii="Arial" w:eastAsia="Times New Roman" w:hAnsi="Arial" w:cs="Arial"/>
          <w:kern w:val="0"/>
          <w:szCs w:val="24"/>
          <w:lang w:eastAsia="es-ES"/>
        </w:rPr>
        <w:t>. En todo caso, el nivel de activos manejados por una administradora no podrá exceder en más de cuarenta (40) veces su patrimonio técnico.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95.-Aprobación de los planes de pensiones</w:t>
      </w:r>
      <w:r w:rsidRPr="00186F49">
        <w:rPr>
          <w:rFonts w:ascii="Arial" w:eastAsia="Times New Roman" w:hAnsi="Arial" w:cs="Arial"/>
          <w:kern w:val="0"/>
          <w:szCs w:val="24"/>
          <w:lang w:eastAsia="es-ES"/>
        </w:rPr>
        <w:t>. Las entidades autorizadas para actuar como administradoras o aseguradoras del sistema, deberán someter a la aprobación de la Superintendencia Bancaria los planes de capitalización y de pensiones que pretendan administrar.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96.-Requisitos para la aprobación de los planes de pensiones</w:t>
      </w:r>
      <w:r w:rsidRPr="00186F49">
        <w:rPr>
          <w:rFonts w:ascii="Arial" w:eastAsia="Times New Roman" w:hAnsi="Arial" w:cs="Arial"/>
          <w:kern w:val="0"/>
          <w:szCs w:val="24"/>
          <w:lang w:eastAsia="es-ES"/>
        </w:rPr>
        <w:t xml:space="preserve">. Todo plan de pensiones que sea sometido a consideración de la Superintendencia Bancaria para su aprobación, deberá amparar a los afiliados y pensionados contra todos los riesgos a que hace referencia esta ley, y señalar las condiciones específicas de cada amparo. Los planes aprobados no podrán modificarse posteriormente desmejorando </w:t>
      </w:r>
      <w:proofErr w:type="gramStart"/>
      <w:r w:rsidRPr="00186F49">
        <w:rPr>
          <w:rFonts w:ascii="Arial" w:eastAsia="Times New Roman" w:hAnsi="Arial" w:cs="Arial"/>
          <w:kern w:val="0"/>
          <w:szCs w:val="24"/>
          <w:lang w:eastAsia="es-ES"/>
        </w:rPr>
        <w:t>cualesquiera</w:t>
      </w:r>
      <w:proofErr w:type="gramEnd"/>
      <w:r w:rsidRPr="00186F49">
        <w:rPr>
          <w:rFonts w:ascii="Arial" w:eastAsia="Times New Roman" w:hAnsi="Arial" w:cs="Arial"/>
          <w:kern w:val="0"/>
          <w:szCs w:val="24"/>
          <w:lang w:eastAsia="es-ES"/>
        </w:rPr>
        <w:t xml:space="preserve"> de las condiciones establecidas anteriormente.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5" w:name="97"/>
      <w:r w:rsidRPr="00186F49">
        <w:rPr>
          <w:rFonts w:ascii="Arial" w:eastAsia="Times New Roman" w:hAnsi="Arial" w:cs="Arial"/>
          <w:b/>
          <w:bCs/>
          <w:kern w:val="0"/>
          <w:szCs w:val="24"/>
          <w:lang w:eastAsia="es-ES"/>
        </w:rPr>
        <w:t> </w:t>
      </w:r>
      <w:bookmarkEnd w:id="45"/>
      <w:r w:rsidRPr="00186F49">
        <w:rPr>
          <w:rFonts w:ascii="Arial" w:eastAsia="Times New Roman" w:hAnsi="Arial" w:cs="Arial"/>
          <w:b/>
          <w:bCs/>
          <w:kern w:val="0"/>
          <w:szCs w:val="24"/>
          <w:lang w:eastAsia="es-ES"/>
        </w:rPr>
        <w:t>97.-Fondos de pensiones como patrimonios autónomos</w:t>
      </w:r>
      <w:r w:rsidRPr="00186F49">
        <w:rPr>
          <w:rFonts w:ascii="Arial" w:eastAsia="Times New Roman" w:hAnsi="Arial" w:cs="Arial"/>
          <w:kern w:val="0"/>
          <w:szCs w:val="24"/>
          <w:lang w:eastAsia="es-ES"/>
        </w:rPr>
        <w:t xml:space="preserve">. </w:t>
      </w:r>
      <w:hyperlink r:id="rId133" w:anchor="50" w:history="1">
        <w:r w:rsidRPr="00186F49">
          <w:rPr>
            <w:rFonts w:ascii="Arial" w:eastAsia="Times New Roman" w:hAnsi="Arial" w:cs="Arial"/>
            <w:color w:val="0000FF"/>
            <w:kern w:val="0"/>
            <w:szCs w:val="24"/>
            <w:u w:val="single"/>
            <w:lang w:eastAsia="es-ES"/>
          </w:rPr>
          <w:t>Modificado por el art. 50, Ley 1328 de 2009</w:t>
        </w:r>
      </w:hyperlink>
      <w:r w:rsidRPr="00186F49">
        <w:rPr>
          <w:rFonts w:ascii="Arial" w:eastAsia="Times New Roman" w:hAnsi="Arial" w:cs="Arial"/>
          <w:kern w:val="0"/>
          <w:szCs w:val="24"/>
          <w:lang w:eastAsia="es-ES"/>
        </w:rPr>
        <w:t>. Los fondos de pensiones, conformados por el conjunto de las cuentas individuales de ahorro pensionad y los que resulten de los planes alternativos de capitalización o de pensiones, así como los intereses, dividendos o cualquier otro ingreso generado por los activos que los integren, constituyen patrimonios autónomos, propiedad de los afiliados, independientes del patrimonio de la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contabilidad de los mismos, se sujetará a las reglas que para el efecto expida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98.-Participación de los afiliados en el control de las sociedades administradoras</w:t>
      </w:r>
      <w:r w:rsidRPr="00186F49">
        <w:rPr>
          <w:rFonts w:ascii="Arial" w:eastAsia="Times New Roman" w:hAnsi="Arial" w:cs="Arial"/>
          <w:kern w:val="0"/>
          <w:szCs w:val="24"/>
          <w:lang w:eastAsia="es-ES"/>
        </w:rPr>
        <w:t>. Los afiliados y accionistas de las sociedades administradoras de fondos de pensiones elegirán el revisor fiscal para el control de la administración del respectivo fondo. Además, los afiliados tendrán dos (2) representantes, elegidos por ellos mismos, para que asistan a todas las juntas directivas de la sociedad administradora, con voz y sin voto, quienes con el revisor fiscal velarán por los intereses de los afiliados de acuerdo con la reglamentación que para tal fin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PARAGRAFO.</w:t>
      </w:r>
      <w:r w:rsidRPr="00186F49">
        <w:rPr>
          <w:rFonts w:ascii="Arial" w:eastAsia="Times New Roman" w:hAnsi="Arial" w:cs="Arial"/>
          <w:kern w:val="0"/>
          <w:szCs w:val="24"/>
          <w:lang w:eastAsia="es-ES"/>
        </w:rPr>
        <w:t>-Las sociedades que administren fondos de pensiones y de cesantía tendrán en total dos (2) representantes de los afiliados.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99.-Garantías</w:t>
      </w:r>
      <w:r w:rsidRPr="00186F49">
        <w:rPr>
          <w:rFonts w:ascii="Arial" w:eastAsia="Times New Roman" w:hAnsi="Arial" w:cs="Arial"/>
          <w:kern w:val="0"/>
          <w:szCs w:val="24"/>
          <w:lang w:eastAsia="es-ES"/>
        </w:rPr>
        <w:t>. Las administradoras y aseguradoras, incluidas las de planes alternativos de pensiones, deberán constituir y mantener adecuadas garantías, para responder por el correcto manejo de las inversiones representativas de los recursos administrados en desarrollo de los planes de capitalización y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w:t>
      </w:r>
      <w:hyperlink r:id="rId134" w:anchor="0" w:history="1">
        <w:r w:rsidRPr="00186F49">
          <w:rPr>
            <w:rFonts w:ascii="Arial" w:eastAsia="Times New Roman" w:hAnsi="Arial" w:cs="Arial"/>
            <w:color w:val="0000FF"/>
            <w:kern w:val="0"/>
            <w:szCs w:val="24"/>
            <w:u w:val="single"/>
            <w:lang w:eastAsia="es-ES"/>
          </w:rPr>
          <w:t>Reglamentado por el Decreto Nacional 2765 de 2007</w:t>
        </w:r>
      </w:hyperlink>
      <w:r w:rsidRPr="00186F49">
        <w:rPr>
          <w:rFonts w:ascii="Arial" w:eastAsia="Times New Roman" w:hAnsi="Arial" w:cs="Arial"/>
          <w:kern w:val="0"/>
          <w:szCs w:val="24"/>
          <w:lang w:eastAsia="es-ES"/>
        </w:rPr>
        <w:t xml:space="preserve">. Las administradoras deberán contar con la garantía del Fondo de Garantías de Instituciones Financieras, con cargo a sus propios recursos, para asegurar el reembolso del saldo de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en caso de disolución o liquidación de la respectiva administradora, sin sobrepasar respecto de cada afiliado el ciento por ciento (100%) de lo correspondiente a cotizaciones obligatorias, incluidos sus respectivos intereses y rendimientos, y de ciento cincuenta (150) salarios mínimos legales mensuales correspondientes a cotizaciones voluntarias. Las garantías en ningún caso podrán ser inferiores a las establecidas por la Superintendencia Bancaria para las instituciones del sistema financiero.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6" w:name="100"/>
      <w:r w:rsidRPr="00186F49">
        <w:rPr>
          <w:rFonts w:ascii="Arial" w:eastAsia="Times New Roman" w:hAnsi="Arial" w:cs="Arial"/>
          <w:b/>
          <w:bCs/>
          <w:kern w:val="0"/>
          <w:szCs w:val="24"/>
          <w:lang w:eastAsia="es-ES"/>
        </w:rPr>
        <w:t> </w:t>
      </w:r>
      <w:bookmarkEnd w:id="46"/>
      <w:r w:rsidRPr="00186F49">
        <w:rPr>
          <w:rFonts w:ascii="Arial" w:eastAsia="Times New Roman" w:hAnsi="Arial" w:cs="Arial"/>
          <w:b/>
          <w:bCs/>
          <w:kern w:val="0"/>
          <w:szCs w:val="24"/>
          <w:lang w:eastAsia="es-ES"/>
        </w:rPr>
        <w:t>100.-Inversión de los recursos</w:t>
      </w:r>
      <w:r w:rsidRPr="00186F49">
        <w:rPr>
          <w:rFonts w:ascii="Arial" w:eastAsia="Times New Roman" w:hAnsi="Arial" w:cs="Arial"/>
          <w:kern w:val="0"/>
          <w:szCs w:val="24"/>
          <w:lang w:eastAsia="es-ES"/>
        </w:rPr>
        <w:t xml:space="preserve">. </w:t>
      </w:r>
      <w:hyperlink r:id="rId135" w:anchor="51" w:history="1">
        <w:r w:rsidRPr="00186F49">
          <w:rPr>
            <w:rFonts w:ascii="Arial" w:eastAsia="Times New Roman" w:hAnsi="Arial" w:cs="Arial"/>
            <w:color w:val="0000FF"/>
            <w:kern w:val="0"/>
            <w:szCs w:val="24"/>
            <w:u w:val="single"/>
            <w:lang w:eastAsia="es-ES"/>
          </w:rPr>
          <w:t>Modificado por el art. 51, Ley 1328 de 2009</w:t>
        </w:r>
      </w:hyperlink>
      <w:r w:rsidRPr="00186F49">
        <w:rPr>
          <w:rFonts w:ascii="Arial" w:eastAsia="Times New Roman" w:hAnsi="Arial" w:cs="Arial"/>
          <w:kern w:val="0"/>
          <w:szCs w:val="24"/>
          <w:lang w:eastAsia="es-ES"/>
        </w:rPr>
        <w:t>. Con el fin de garantizar la seguridad, rentabilidad y liquidez de los recursos del sistema, las administradoras los invertirán en las condiciones y con sujeción a los límites que para el efecto establezca el gobierno a través de la Superintendencia Bancaria, previo concepto, que no será vinculante, de una comisión del consejo nacional laboral o el organismo que haga sus veces.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cualquier caso, las inversiones en títulos de deuda pública no podrán ser superiores al cincuenta por ciento (50%) del valor de los recursos de los fondos de pensiones, y dichos títulos deberán cubrir la desvalorización monetaria y permitir el pago de intereses reales que reflejen la tasa del mercado financiero, certificada por la Superintendencia Bancaria para períodos trimestrales.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Superintendencia de Valores deberá definir los requisitos que deban acreditar las personas jurídicas que sean destinatarias de inversión o colocación de recursos de los fondos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la Superintendencia de Valores autorice la colocación de recursos en el mercado de capitales o en títulos valores diferentes a los documentos oficiales de deuda pública, deberá exigir a los destinatarios, que cumplan con las normas destinadas a contener fenómenos de concentración de propiedad e ingresos.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podrá reglamentar las transacciones diferentes a la suscripción de títulos primarios, para que se efectúen por intermedio de las bolsas de valores.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administradoras de fondos de pensiones y cesantía de cualquier naturaleza podrán descontar actas y cartera en las condiciones y en la proporción que fije </w:t>
      </w:r>
      <w:r w:rsidRPr="00186F49">
        <w:rPr>
          <w:rFonts w:ascii="Arial" w:eastAsia="Times New Roman" w:hAnsi="Arial" w:cs="Arial"/>
          <w:kern w:val="0"/>
          <w:szCs w:val="24"/>
          <w:lang w:eastAsia="es-ES"/>
        </w:rPr>
        <w:lastRenderedPageBreak/>
        <w:t xml:space="preserve">el Gobierno Nacional, para que en todo caso la inversión sea de máxima seguridad.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7" w:name="101"/>
      <w:r w:rsidRPr="00186F49">
        <w:rPr>
          <w:rFonts w:ascii="Arial" w:eastAsia="Times New Roman" w:hAnsi="Arial" w:cs="Arial"/>
          <w:b/>
          <w:bCs/>
          <w:kern w:val="0"/>
          <w:szCs w:val="24"/>
          <w:lang w:eastAsia="es-ES"/>
        </w:rPr>
        <w:t> </w:t>
      </w:r>
      <w:bookmarkEnd w:id="47"/>
      <w:r w:rsidRPr="00186F49">
        <w:rPr>
          <w:rFonts w:ascii="Arial" w:eastAsia="Times New Roman" w:hAnsi="Arial" w:cs="Arial"/>
          <w:b/>
          <w:bCs/>
          <w:kern w:val="0"/>
          <w:szCs w:val="24"/>
          <w:lang w:eastAsia="es-ES"/>
        </w:rPr>
        <w:t>101.-Rentabilidad mínima</w:t>
      </w:r>
      <w:r w:rsidRPr="00186F49">
        <w:rPr>
          <w:rFonts w:ascii="Arial" w:eastAsia="Times New Roman" w:hAnsi="Arial" w:cs="Arial"/>
          <w:kern w:val="0"/>
          <w:szCs w:val="24"/>
          <w:lang w:eastAsia="es-ES"/>
        </w:rPr>
        <w:t xml:space="preserve">. </w:t>
      </w:r>
      <w:hyperlink r:id="rId136" w:anchor="52" w:history="1">
        <w:r w:rsidRPr="00186F49">
          <w:rPr>
            <w:rFonts w:ascii="Arial" w:eastAsia="Times New Roman" w:hAnsi="Arial" w:cs="Arial"/>
            <w:color w:val="0000FF"/>
            <w:kern w:val="0"/>
            <w:szCs w:val="24"/>
            <w:u w:val="single"/>
            <w:lang w:eastAsia="es-ES"/>
          </w:rPr>
          <w:t>Modificado por el art. 52, Ley 1328 de 2009</w:t>
        </w:r>
      </w:hyperlink>
      <w:r w:rsidRPr="00186F49">
        <w:rPr>
          <w:rFonts w:ascii="Arial" w:eastAsia="Times New Roman" w:hAnsi="Arial" w:cs="Arial"/>
          <w:kern w:val="0"/>
          <w:szCs w:val="24"/>
          <w:lang w:eastAsia="es-ES"/>
        </w:rPr>
        <w:t xml:space="preserve">. La totalidad de los rendimientos obtenidos en el manejo de los fondos de pensiones será abonado en las cuentas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individual de los afiliados, a prorrata de las sumas acumuladas en cada una de ellas y de la permanencia de las mismas durante el respectivo período.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sociedades administradoras de fondos de pensiones y de cesantías deberán garantizar a sus afiliados de unos y otros una rentabilidad mínima, que será determinada por el Gobierno Nacional, teniendo en cuenta rendimientos en papeles e inversiones representativas del mercado que sean comparables. Esta metodología deberá buscar que la rentabilidad mínima del portafolio invertido en títulos de deuda no sea inferior a la tasa de mercado, definida teniendo en cuenta el rendimiento de los títulos emitidos por la Nación y el Banco de la República. Además deberá promover una racional y amplia distribución de los portafolios en papeles e inversiones de largo plazo y equilibrar los sistemas remuneratorios de pensiones y cesantías.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aquellos casos en los cuales no se alcance la rentabilidad mínima, las sociedades administradoras deberán responder con sus propios recursos, afectando inicialmente la reserva de estabilización de rendimientos que se defina para estas sociedades.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37" w:anchor="0" w:history="1">
        <w:r w:rsidRPr="00186F49">
          <w:rPr>
            <w:rFonts w:ascii="Arial" w:eastAsia="Times New Roman" w:hAnsi="Arial" w:cs="Arial"/>
            <w:color w:val="0000FF"/>
            <w:kern w:val="0"/>
            <w:szCs w:val="24"/>
            <w:u w:val="single"/>
            <w:lang w:eastAsia="es-ES"/>
          </w:rPr>
          <w:t>Ver el Decreto Nacional 4936 de 2009</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102.-Rentabilidad mínima en caso de liquidación, fusión o cesión de la administradora o por retiro del afiliado</w:t>
      </w:r>
      <w:r w:rsidRPr="00186F49">
        <w:rPr>
          <w:rFonts w:ascii="Arial" w:eastAsia="Times New Roman" w:hAnsi="Arial" w:cs="Arial"/>
          <w:kern w:val="0"/>
          <w:szCs w:val="24"/>
          <w:lang w:eastAsia="es-ES"/>
        </w:rPr>
        <w:t xml:space="preserve">. En caso de liquidación, cesión o fusión de una administradora, los recursos que formen parte de la cuenta especial de que tratan los artículos anteriores, se abonarán en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 sus afiliados.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Así mismo, en caso de retiro definitivo de un afiliado, por traslado a otra administradora o porque contrate con una entidad aseguradora el pago de una pensión, se le deberá reconocer la rentabilidad mínima exigida, mediante el pago inmediato de las cuantías que de la cuenta especial de estabilización resulten proporcionalmente a su favor.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103.-Publicación de rentabilidad</w:t>
      </w:r>
      <w:r w:rsidRPr="00186F49">
        <w:rPr>
          <w:rFonts w:ascii="Arial" w:eastAsia="Times New Roman" w:hAnsi="Arial" w:cs="Arial"/>
          <w:kern w:val="0"/>
          <w:szCs w:val="24"/>
          <w:lang w:eastAsia="es-ES"/>
        </w:rPr>
        <w:t xml:space="preserve">. Las administradoras deberán publicar </w:t>
      </w:r>
      <w:proofErr w:type="gramStart"/>
      <w:r w:rsidRPr="00186F49">
        <w:rPr>
          <w:rFonts w:ascii="Arial" w:eastAsia="Times New Roman" w:hAnsi="Arial" w:cs="Arial"/>
          <w:kern w:val="0"/>
          <w:szCs w:val="24"/>
          <w:lang w:eastAsia="es-ES"/>
        </w:rPr>
        <w:t>la rentabilidad obtenida en los planes de capitalización y de pensiones ofrecidos</w:t>
      </w:r>
      <w:proofErr w:type="gramEnd"/>
      <w:r w:rsidRPr="00186F49">
        <w:rPr>
          <w:rFonts w:ascii="Arial" w:eastAsia="Times New Roman" w:hAnsi="Arial" w:cs="Arial"/>
          <w:kern w:val="0"/>
          <w:szCs w:val="24"/>
          <w:lang w:eastAsia="es-ES"/>
        </w:rPr>
        <w:t>, en la forma y con la periodicidad que para el efecto determine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8" w:name="104"/>
      <w:r w:rsidRPr="00186F49">
        <w:rPr>
          <w:rFonts w:ascii="Arial" w:eastAsia="Times New Roman" w:hAnsi="Arial" w:cs="Arial"/>
          <w:b/>
          <w:bCs/>
          <w:kern w:val="0"/>
          <w:szCs w:val="24"/>
          <w:lang w:eastAsia="es-ES"/>
        </w:rPr>
        <w:t> </w:t>
      </w:r>
      <w:bookmarkEnd w:id="48"/>
      <w:r w:rsidRPr="00186F49">
        <w:rPr>
          <w:rFonts w:ascii="Arial" w:eastAsia="Times New Roman" w:hAnsi="Arial" w:cs="Arial"/>
          <w:b/>
          <w:bCs/>
          <w:kern w:val="0"/>
          <w:szCs w:val="24"/>
          <w:lang w:eastAsia="es-ES"/>
        </w:rPr>
        <w:t>104.-Comisiones.</w:t>
      </w:r>
      <w:r w:rsidRPr="00186F49">
        <w:rPr>
          <w:rFonts w:ascii="Arial" w:eastAsia="Times New Roman" w:hAnsi="Arial" w:cs="Arial"/>
          <w:kern w:val="0"/>
          <w:szCs w:val="24"/>
          <w:lang w:eastAsia="es-ES"/>
        </w:rPr>
        <w:t xml:space="preserve"> </w:t>
      </w:r>
      <w:hyperlink r:id="rId138" w:anchor="53" w:history="1">
        <w:r w:rsidRPr="00186F49">
          <w:rPr>
            <w:rFonts w:ascii="Arial" w:eastAsia="Times New Roman" w:hAnsi="Arial" w:cs="Arial"/>
            <w:color w:val="0000FF"/>
            <w:kern w:val="0"/>
            <w:szCs w:val="24"/>
            <w:u w:val="single"/>
            <w:lang w:eastAsia="es-ES"/>
          </w:rPr>
          <w:t>Modificado por el art. 53, Ley 1328 de 2009</w:t>
        </w:r>
      </w:hyperlink>
      <w:r w:rsidRPr="00186F49">
        <w:rPr>
          <w:rFonts w:ascii="Arial" w:eastAsia="Times New Roman" w:hAnsi="Arial" w:cs="Arial"/>
          <w:kern w:val="0"/>
          <w:szCs w:val="24"/>
          <w:lang w:eastAsia="es-ES"/>
        </w:rPr>
        <w:t xml:space="preserve">. Las administradoras cobrarán a sus afiliados una comisión de administración cuyos montos máximos y condiciones serán fijadas por la Superintendencia Bancaria, dentro de los límites consagrados en </w:t>
      </w:r>
      <w:proofErr w:type="spellStart"/>
      <w:r w:rsidRPr="00186F49">
        <w:rPr>
          <w:rFonts w:ascii="Arial" w:eastAsia="Times New Roman" w:hAnsi="Arial" w:cs="Arial"/>
          <w:kern w:val="0"/>
          <w:szCs w:val="24"/>
          <w:lang w:eastAsia="es-ES"/>
        </w:rPr>
        <w:t>e</w:t>
      </w:r>
      <w:proofErr w:type="spellEnd"/>
      <w:r w:rsidRPr="00186F49">
        <w:rPr>
          <w:rFonts w:ascii="Arial" w:eastAsia="Times New Roman" w:hAnsi="Arial" w:cs="Arial"/>
          <w:kern w:val="0"/>
          <w:szCs w:val="24"/>
          <w:lang w:eastAsia="es-ES"/>
        </w:rPr>
        <w:t xml:space="preserve"> artículo 20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El gobierno reglamentará las comisiones de administración por el manejo de las cotizaciones voluntarias.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105.-Contratos con establecimientos de crédito</w:t>
      </w:r>
      <w:r w:rsidRPr="00186F49">
        <w:rPr>
          <w:rFonts w:ascii="Arial" w:eastAsia="Times New Roman" w:hAnsi="Arial" w:cs="Arial"/>
          <w:kern w:val="0"/>
          <w:szCs w:val="24"/>
          <w:lang w:eastAsia="es-ES"/>
        </w:rPr>
        <w:t>. Las administradoras podrán celebrar contratos con instituciones financieras u otras entidades, con cargo a sus propios recursos, con el objeto de que éstos se encarguen de las operaciones de recaudo, pago y transferencia de los recursos manejados por las primeras, en las condiciones que se determinen, con el fin de que dichas operaciones puedan ser realizadas en todo el territorio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106.-Publicidad</w:t>
      </w:r>
      <w:r w:rsidRPr="00186F49">
        <w:rPr>
          <w:rFonts w:ascii="Arial" w:eastAsia="Times New Roman" w:hAnsi="Arial" w:cs="Arial"/>
          <w:kern w:val="0"/>
          <w:szCs w:val="24"/>
          <w:lang w:eastAsia="es-ES"/>
        </w:rPr>
        <w:t>. Toda publicidad o promoción de las actividades de las administradoras deberá sujetarse a las normas que sobre el particular determine la Superintendencia Bancaria, en orden a velar por que aquélla sea veraz y precisa, tal publicidad solamente podrá contratarse con cargo al presupuesto de gastos administrativos de la entidad.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todo caso, todas las administradoras deberán publicar, con la periodicidad y en la forma que al efecto determine la misma superintendencia, el costo de las primas que sean pagadas por concepto de seguros y el valor de las comisiones cobradas.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eliminará privilegios provenientes de grupos con capacidad de control de medios masivos, y en su caso impedir que sean los beneficiarios quienes directa o indirectamente absorban costos de publicidad.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107.-Cambio de plan de capitalización o de pensiones y de entidades administradoras.</w:t>
      </w:r>
      <w:r w:rsidRPr="00186F49">
        <w:rPr>
          <w:rFonts w:ascii="Arial" w:eastAsia="Times New Roman" w:hAnsi="Arial" w:cs="Arial"/>
          <w:kern w:val="0"/>
          <w:szCs w:val="24"/>
          <w:lang w:eastAsia="es-ES"/>
        </w:rPr>
        <w:t xml:space="preserve"> Todo afiliado al régimen y que no haya adquirido la calidad de pensionado, podrá transferir voluntariamente el valor de su cuenta individual de ahorro pensionad a otro plan de capitalización o de pensiones autorizado, o trasladarse a otra entidad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cambios autorizados en el inciso anterior no podrán exceder de una vez en el semestre respectivo, previa solicitud presentada por el interesado con no menos de treinta (30) días calendario de anticipación.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49" w:name="108"/>
      <w:r w:rsidRPr="00186F49">
        <w:rPr>
          <w:rFonts w:ascii="Arial" w:eastAsia="Times New Roman" w:hAnsi="Arial" w:cs="Arial"/>
          <w:b/>
          <w:bCs/>
          <w:kern w:val="0"/>
          <w:szCs w:val="24"/>
          <w:lang w:eastAsia="es-ES"/>
        </w:rPr>
        <w:t> </w:t>
      </w:r>
      <w:bookmarkEnd w:id="49"/>
      <w:r w:rsidRPr="00186F49">
        <w:rPr>
          <w:rFonts w:ascii="Arial" w:eastAsia="Times New Roman" w:hAnsi="Arial" w:cs="Arial"/>
          <w:b/>
          <w:bCs/>
          <w:kern w:val="0"/>
          <w:szCs w:val="24"/>
          <w:lang w:eastAsia="es-ES"/>
        </w:rPr>
        <w:t>108.-Seguros de participación</w:t>
      </w:r>
      <w:r w:rsidRPr="00186F49">
        <w:rPr>
          <w:rFonts w:ascii="Arial" w:eastAsia="Times New Roman" w:hAnsi="Arial" w:cs="Arial"/>
          <w:kern w:val="0"/>
          <w:szCs w:val="24"/>
          <w:lang w:eastAsia="es-ES"/>
        </w:rPr>
        <w:t xml:space="preserve">. </w:t>
      </w:r>
      <w:hyperlink r:id="rId139" w:anchor="54" w:history="1">
        <w:r w:rsidRPr="00186F49">
          <w:rPr>
            <w:rFonts w:ascii="Arial" w:eastAsia="Times New Roman" w:hAnsi="Arial" w:cs="Arial"/>
            <w:color w:val="0000FF"/>
            <w:kern w:val="0"/>
            <w:szCs w:val="24"/>
            <w:u w:val="single"/>
            <w:lang w:eastAsia="es-ES"/>
          </w:rPr>
          <w:t>Modificado por el art. 54, Ley 1328 de 2009</w:t>
        </w:r>
      </w:hyperlink>
      <w:r w:rsidRPr="00186F49">
        <w:rPr>
          <w:rFonts w:ascii="Arial" w:eastAsia="Times New Roman" w:hAnsi="Arial" w:cs="Arial"/>
          <w:kern w:val="0"/>
          <w:szCs w:val="24"/>
          <w:lang w:eastAsia="es-ES"/>
        </w:rPr>
        <w:t>. Los seguros que contraten las administradoras para efectuar los aportes adicionales necesarios para financiar las pensiones de invalidez y sobrevivientes deberán ser colectivos y de participación.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contratación de dichos seguros deberá efectuarse utilizando procedimientos autorizados por la Superintendencia Bancaria que aseguren la libre concurrencia de oferentes.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Así mismo, las aseguradoras que asuman cualquier tipo de rentas vitalicias adoptarán para ello la modalidad de seguros de participación en beneficio de los pensionados.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0" w:name="BM109"/>
      <w:r w:rsidRPr="00186F49">
        <w:rPr>
          <w:rFonts w:ascii="Arial" w:eastAsia="Times New Roman" w:hAnsi="Arial" w:cs="Arial"/>
          <w:b/>
          <w:bCs/>
          <w:kern w:val="0"/>
          <w:szCs w:val="24"/>
          <w:lang w:eastAsia="es-ES"/>
        </w:rPr>
        <w:t> </w:t>
      </w:r>
      <w:bookmarkEnd w:id="50"/>
      <w:r w:rsidRPr="00186F49">
        <w:rPr>
          <w:rFonts w:ascii="Arial" w:eastAsia="Times New Roman" w:hAnsi="Arial" w:cs="Arial"/>
          <w:b/>
          <w:bCs/>
          <w:kern w:val="0"/>
          <w:szCs w:val="24"/>
          <w:lang w:eastAsia="es-ES"/>
        </w:rPr>
        <w:t>109.-</w:t>
      </w:r>
      <w:r w:rsidRPr="00186F49">
        <w:rPr>
          <w:rFonts w:ascii="Arial" w:eastAsia="Times New Roman" w:hAnsi="Arial" w:cs="Arial"/>
          <w:kern w:val="0"/>
          <w:szCs w:val="24"/>
          <w:lang w:eastAsia="es-ES"/>
        </w:rPr>
        <w:t> </w:t>
      </w:r>
      <w:hyperlink r:id="rId140" w:anchor="0" w:history="1">
        <w:r w:rsidRPr="00186F49">
          <w:rPr>
            <w:rFonts w:ascii="Arial" w:eastAsia="Times New Roman" w:hAnsi="Arial" w:cs="Arial"/>
            <w:color w:val="0000FF"/>
            <w:kern w:val="0"/>
            <w:szCs w:val="24"/>
            <w:u w:val="single"/>
            <w:lang w:eastAsia="es-ES"/>
          </w:rPr>
          <w:t>Reglamentado por el Decreto Nacional 1515 de 1998</w:t>
        </w:r>
      </w:hyperlink>
      <w:r w:rsidRPr="00186F49">
        <w:rPr>
          <w:rFonts w:ascii="Arial" w:eastAsia="Times New Roman" w:hAnsi="Arial" w:cs="Arial"/>
          <w:kern w:val="0"/>
          <w:szCs w:val="24"/>
          <w:lang w:eastAsia="es-ES"/>
        </w:rPr>
        <w:t xml:space="preserve">. Garantía estatal a las pensiones contratadas con aseguradoras. Sin perjuicio </w:t>
      </w:r>
      <w:r w:rsidRPr="00186F49">
        <w:rPr>
          <w:rFonts w:ascii="Arial" w:eastAsia="Times New Roman" w:hAnsi="Arial" w:cs="Arial"/>
          <w:kern w:val="0"/>
          <w:szCs w:val="24"/>
          <w:lang w:eastAsia="es-ES"/>
        </w:rPr>
        <w:lastRenderedPageBreak/>
        <w:t>del cumplimiento de las obligaciones a cargo de los reaseguradores, la Nación garantizará el pago de las pensiones en caso de menoscabo patrimonial o suspensiones de pago de la compañía aseguradora responsable de su cancelación de acuerdo con la reglamentación que para tal efecto se expida. Para este efecto, el Gobierno Nacional podrá permitir el acceso de la compañía aseguradora a la garantía del Fondo de Garantías de Instituciones Financieras. En este caso, la compañía aseguradora asumirá el costo respectivo.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En todos los eventos en los que exista defraudación o malos manejos por parte de los administradores de los fondos de pensiones o de las aseguradoras, para eludir sus obligaciones con los ahorradores, deberán responder penalmente por sus actos. Para estos efectos, los aportes de los ahorradores se asimilarán al carácter de dineros del tesoro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110.-Vigilancia y control</w:t>
      </w:r>
      <w:r w:rsidRPr="00186F49">
        <w:rPr>
          <w:rFonts w:ascii="Arial" w:eastAsia="Times New Roman" w:hAnsi="Arial" w:cs="Arial"/>
          <w:kern w:val="0"/>
          <w:szCs w:val="24"/>
          <w:lang w:eastAsia="es-ES"/>
        </w:rPr>
        <w:t>. Corresponderá a la Superintendencia Bancaria el control y vigilancia de las entidades administradoras de los planes de capitalización y de pensiones a que se refiere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111.-Sanciones a las administradoras</w:t>
      </w:r>
      <w:r w:rsidRPr="00186F49">
        <w:rPr>
          <w:rFonts w:ascii="Arial" w:eastAsia="Times New Roman" w:hAnsi="Arial" w:cs="Arial"/>
          <w:kern w:val="0"/>
          <w:szCs w:val="24"/>
          <w:lang w:eastAsia="es-ES"/>
        </w:rPr>
        <w:t xml:space="preserve">. Sin perjuicio de la aplicación de las demás sanciones que puede imponer la superintendencia en desarrollo de sus facultades legales, cuando las administradoras incurran en defectos respecto de los niveles adecuados de patrimonio exigidos, la Superintendencia Bancaria impondrá, por cada incumplimiento, una multa en favor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por el equivalente al tres punto cinco por ciento (3.5%) del valor del defecto mensual, sin exceder, respecto de cada incumplimiento, del uno punto cinco por ciento (1.5%) del monto requerido para dar cumplimiento a tal relación.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Así mismo, cuando el monto correspondiente a la reserva de estabilización sea inferior al mínimo establecido, la Superintendencia Bancaria impondrá una multa en favor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por el equivalente al tres punto cinco por ciento (3.5%) del valor del defecto mensual presentado por la respectiva administradora.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adición a lo previsto en los incisos anteriores, la Superintendencia Bancaria impartirá todas las órdenes que resulten pertinentes para el inmediato restablecimiento de los niveles adecuados de patrimonio o de la reserva de estabilización, según corresponda.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112.- Obligación de aceptar a todos los afiliados que lo soliciten.</w:t>
      </w:r>
      <w:r w:rsidRPr="00186F49">
        <w:rPr>
          <w:rFonts w:ascii="Arial" w:eastAsia="Times New Roman" w:hAnsi="Arial" w:cs="Arial"/>
          <w:kern w:val="0"/>
          <w:szCs w:val="24"/>
          <w:lang w:eastAsia="es-ES"/>
        </w:rPr>
        <w:t xml:space="preserve"> Las personas que cumplan los requisitos para ser afiliados al régimen de ahorro individual con solidaridad no podrán ser </w:t>
      </w:r>
      <w:proofErr w:type="gramStart"/>
      <w:r w:rsidRPr="00186F49">
        <w:rPr>
          <w:rFonts w:ascii="Arial" w:eastAsia="Times New Roman" w:hAnsi="Arial" w:cs="Arial"/>
          <w:kern w:val="0"/>
          <w:szCs w:val="24"/>
          <w:lang w:eastAsia="es-ES"/>
        </w:rPr>
        <w:t>rechazados</w:t>
      </w:r>
      <w:proofErr w:type="gramEnd"/>
      <w:r w:rsidRPr="00186F49">
        <w:rPr>
          <w:rFonts w:ascii="Arial" w:eastAsia="Times New Roman" w:hAnsi="Arial" w:cs="Arial"/>
          <w:kern w:val="0"/>
          <w:szCs w:val="24"/>
          <w:lang w:eastAsia="es-ES"/>
        </w:rPr>
        <w:t xml:space="preserve"> por las entidades administradoras del mismo. </w:t>
      </w:r>
      <w:hyperlink r:id="rId141" w:anchor="1" w:history="1">
        <w:r w:rsidRPr="00186F49">
          <w:rPr>
            <w:rFonts w:ascii="Arial" w:eastAsia="Times New Roman" w:hAnsi="Arial" w:cs="Arial"/>
            <w:color w:val="0000FF"/>
            <w:kern w:val="0"/>
            <w:szCs w:val="24"/>
            <w:u w:val="single"/>
            <w:lang w:eastAsia="es-ES"/>
          </w:rPr>
          <w:t>Declarado Exequible Sentencia Corte Constitucional 86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comunes a los regímenes del sistema general de pensiones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Traslado entre regímenes - bonos </w:t>
      </w:r>
      <w:proofErr w:type="spellStart"/>
      <w:r w:rsidRPr="00186F49">
        <w:rPr>
          <w:rFonts w:ascii="Arial" w:eastAsia="Times New Roman" w:hAnsi="Arial" w:cs="Arial"/>
          <w:b/>
          <w:bCs/>
          <w:kern w:val="0"/>
          <w:szCs w:val="24"/>
          <w:lang w:eastAsia="es-ES"/>
        </w:rPr>
        <w:t>pensionales</w:t>
      </w:r>
      <w:proofErr w:type="spellEnd"/>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113.-Traslado de régimen.</w:t>
      </w:r>
      <w:r w:rsidRPr="00186F49">
        <w:rPr>
          <w:rFonts w:ascii="Arial" w:eastAsia="Times New Roman" w:hAnsi="Arial" w:cs="Arial"/>
          <w:kern w:val="0"/>
          <w:szCs w:val="24"/>
          <w:lang w:eastAsia="es-ES"/>
        </w:rPr>
        <w:t xml:space="preserve"> Cuando los afiliados al sistema en desarrollo de la presente ley se trasladen de un régimen a otro se aplicarán las siguientes reglas.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Si el traslado se produce del régimen de prestación definida al de ahorro individual con solidaridad, habrá lugar al reconocimiento de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en los términos previstos por los artículos siguientes,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Si el traslado se produce del régimen de ahorro individual con solidaridad al régimen de prestación definida, se transferirá a este último el saldo de la cuenta individual, incluidos los rendimientos, que se acreditará en términos de semanas cotizadas, de acuerdo con el salario base de cotización.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42"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114.-Requisito para el traslado de régimen.</w:t>
      </w:r>
      <w:r w:rsidRPr="00186F49">
        <w:rPr>
          <w:rFonts w:ascii="Arial" w:eastAsia="Times New Roman" w:hAnsi="Arial" w:cs="Arial"/>
          <w:kern w:val="0"/>
          <w:szCs w:val="24"/>
          <w:lang w:eastAsia="es-ES"/>
        </w:rPr>
        <w:t xml:space="preserve"> Los trabajadores y servidores públicos que en virtud de lo previsto en la presente ley se trasladen por primera vez del régimen de prima media con prestación definida al régimen de ahorro individual con solidaridad, deberán presentar a la respectiva entidad administradora comunicación escrita en la que conste que la selección de dicho régimen se ha tomado de manera libre, espontánea y sin presiones.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Este mismo requisito es obligatorio para los trabajadores vinculados con los empleadores hasta el 31 de diciembre de 1990 y que decidan trasladarse al régimen especial de cesantía previsto en la Ley 50 de 1990, para lo cual se requerirá que adicionalmente dicha comunicación sea rendida ante notario público, o en su defecto ante la primera autoridad política del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43" w:anchor="1" w:history="1">
        <w:r w:rsidRPr="00186F49">
          <w:rPr>
            <w:rFonts w:ascii="Arial" w:eastAsia="Times New Roman" w:hAnsi="Arial" w:cs="Arial"/>
            <w:color w:val="0000FF"/>
            <w:kern w:val="0"/>
            <w:szCs w:val="24"/>
            <w:u w:val="single"/>
            <w:lang w:eastAsia="es-ES"/>
          </w:rPr>
          <w:t>Declarado Exequible Sentencia Corte Constitucional 86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115.- </w:t>
      </w:r>
      <w:hyperlink r:id="rId144" w:anchor="1" w:history="1">
        <w:r w:rsidRPr="00186F49">
          <w:rPr>
            <w:rFonts w:ascii="Arial" w:eastAsia="Times New Roman" w:hAnsi="Arial" w:cs="Arial"/>
            <w:color w:val="0000FF"/>
            <w:kern w:val="0"/>
            <w:szCs w:val="24"/>
            <w:u w:val="single"/>
            <w:lang w:eastAsia="es-ES"/>
          </w:rPr>
          <w:t>Reglamentado parcialmente por el Decreto Nacional 13 de 2001</w:t>
        </w:r>
      </w:hyperlink>
      <w:r w:rsidRPr="00186F49">
        <w:rPr>
          <w:rFonts w:ascii="Arial" w:eastAsia="Times New Roman" w:hAnsi="Arial" w:cs="Arial"/>
          <w:b/>
          <w:bCs/>
          <w:kern w:val="0"/>
          <w:szCs w:val="24"/>
          <w:lang w:eastAsia="es-ES"/>
        </w:rPr>
        <w:t xml:space="preserve">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kern w:val="0"/>
          <w:szCs w:val="24"/>
          <w:lang w:eastAsia="es-ES"/>
        </w:rPr>
        <w:t xml:space="preserv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constituyen aportes destinados a contribuir a la conformación del capital necesario para financiar las pensiones de los afiliados al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Tendrán derecho a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los afiliados que con anterioridad a su ingreso al régimen de ahorro individual con solidaridad cumplan algunos de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Que hubiesen efectuado cotizaciones al Instituto de Seguros Sociales o las cajas o fondos de previsión del sector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Que hubiesen estado vinculados al Estado o a sus entidades descentralizadas como servidores públicos;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c)  Que estén vinculados mediante contrato de trabajo con empresas que tienen a su cargo el reconocimiento y pago de las pensiones,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Que hubiesen estado afiliados a cajas previsionales del sector privado que tuvieren a su cargo exclusivo el reconocimiento y pago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PARAGRAFO 1. </w:t>
      </w:r>
      <w:r w:rsidRPr="00186F49">
        <w:rPr>
          <w:rFonts w:ascii="Arial" w:eastAsia="Times New Roman" w:hAnsi="Arial" w:cs="Arial"/>
          <w:kern w:val="0"/>
          <w:szCs w:val="24"/>
          <w:lang w:eastAsia="es-ES"/>
        </w:rPr>
        <w:t>Los afiliados de que trata el literal a) del presente artículo que al momento del traslado hubiesen cotizado menos de ciento cincuenta (150) semanas no tendrán derecho a bono.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PARAGRAFO 2. </w:t>
      </w:r>
      <w:hyperlink r:id="rId145" w:anchor="23" w:history="1">
        <w:r w:rsidRPr="00186F49">
          <w:rPr>
            <w:rFonts w:ascii="Arial" w:eastAsia="Times New Roman" w:hAnsi="Arial" w:cs="Arial"/>
            <w:color w:val="0000FF"/>
            <w:kern w:val="0"/>
            <w:szCs w:val="24"/>
            <w:u w:val="single"/>
            <w:lang w:eastAsia="es-ES"/>
          </w:rPr>
          <w:t>Adicionado por el art. 23, Ley 797 de 2003</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116.-Características</w:t>
      </w:r>
      <w:r w:rsidRPr="00186F49">
        <w:rPr>
          <w:rFonts w:ascii="Arial" w:eastAsia="Times New Roman" w:hAnsi="Arial" w:cs="Arial"/>
          <w:kern w:val="0"/>
          <w:szCs w:val="24"/>
          <w:lang w:eastAsia="es-ES"/>
        </w:rPr>
        <w:t xml:space="preserv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tendrán las siguientes características: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Se expresarán en pesos;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Serán nominativos;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Serán endosables en favor de las entidades administradoras o aseguradoras, con destino al pago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Entre el momento de la afiliación del trabajador y el de redención del bono, devengarán, a cargo del respectivo emisor, un interés equivalente a la tasa DTF, sobre saldos capitalizados, que establezca el gobierno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Las demás que determine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1" w:name="BM117"/>
      <w:r w:rsidRPr="00186F49">
        <w:rPr>
          <w:rFonts w:ascii="Arial" w:eastAsia="Times New Roman" w:hAnsi="Arial" w:cs="Arial"/>
          <w:b/>
          <w:bCs/>
          <w:kern w:val="0"/>
          <w:szCs w:val="24"/>
          <w:lang w:eastAsia="es-ES"/>
        </w:rPr>
        <w:t> </w:t>
      </w:r>
      <w:bookmarkEnd w:id="51"/>
      <w:r w:rsidRPr="00186F49">
        <w:rPr>
          <w:rFonts w:ascii="Arial" w:eastAsia="Times New Roman" w:hAnsi="Arial" w:cs="Arial"/>
          <w:b/>
          <w:bCs/>
          <w:kern w:val="0"/>
          <w:szCs w:val="24"/>
          <w:lang w:eastAsia="es-ES"/>
        </w:rPr>
        <w:t xml:space="preserve">117.- </w:t>
      </w:r>
      <w:hyperlink r:id="rId146" w:anchor="1" w:history="1">
        <w:r w:rsidRPr="00186F49">
          <w:rPr>
            <w:rFonts w:ascii="Arial" w:eastAsia="Times New Roman" w:hAnsi="Arial" w:cs="Arial"/>
            <w:color w:val="0000FF"/>
            <w:kern w:val="0"/>
            <w:szCs w:val="24"/>
            <w:u w:val="single"/>
            <w:lang w:eastAsia="es-ES"/>
          </w:rPr>
          <w:t>Reglamentado parcialmente por el Decreto Nacional 13 de 2001</w:t>
        </w:r>
      </w:hyperlink>
      <w:r w:rsidRPr="00186F49">
        <w:rPr>
          <w:rFonts w:ascii="Arial" w:eastAsia="Times New Roman" w:hAnsi="Arial" w:cs="Arial"/>
          <w:b/>
          <w:bCs/>
          <w:kern w:val="0"/>
          <w:szCs w:val="24"/>
          <w:lang w:eastAsia="es-ES"/>
        </w:rPr>
        <w:t xml:space="preserve">, </w:t>
      </w:r>
      <w:hyperlink r:id="rId147" w:anchor="0" w:history="1">
        <w:r w:rsidRPr="00186F49">
          <w:rPr>
            <w:rFonts w:ascii="Arial" w:eastAsia="Times New Roman" w:hAnsi="Arial" w:cs="Arial"/>
            <w:color w:val="0000FF"/>
            <w:kern w:val="0"/>
            <w:szCs w:val="24"/>
            <w:u w:val="single"/>
            <w:lang w:eastAsia="es-ES"/>
          </w:rPr>
          <w:t>Reglamentado por el Decreto Nacional 3366 de 2007</w:t>
        </w:r>
      </w:hyperlink>
      <w:r w:rsidRPr="00186F49">
        <w:rPr>
          <w:rFonts w:ascii="Arial" w:eastAsia="Times New Roman" w:hAnsi="Arial" w:cs="Arial"/>
          <w:b/>
          <w:bCs/>
          <w:kern w:val="0"/>
          <w:szCs w:val="24"/>
          <w:lang w:eastAsia="es-ES"/>
        </w:rPr>
        <w:t xml:space="preserve">. Valor de los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kern w:val="0"/>
          <w:szCs w:val="24"/>
          <w:lang w:eastAsia="es-ES"/>
        </w:rPr>
        <w:t>. Para determinar el valor de los bonos, se establecerá una pensión de vejez de referencia para cada afiliado, que se calculará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Se calcula el salario que el afiliado tendría a los sesenta (60) años si es mujer o sesenta y dos (62) si es hombre, como el resultado de multiplicar la base de cotización del afiliado a 30 de junio de 1992, o en su defecto, el último salario devengado antes de dicha fecha si para la misma se encontrase cesante, actualizado a la fecha de su ingreso al sistema según la variación porcentual del índice de precios al consumidor del DANE, por la relación que exista entre el salario medio nacional a los sesenta (60) años si es mujer o sesenta y dos (62) si es hombre, y el salario medio nacional a la edad que hubiere tenido el afiliado en dicha fecha. Dichos salarios medios nacionales serán establecidos por el DANE,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El resultado obtenido en el literal anterior, se multiplica por el porcentaje que resulte de sumar los siguientes porcentajes: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45%, más un 3% por cada año que exceda de los primeros 10 años de cotización, empleo o servicio público, más otro 3% por cada año que faltare </w:t>
      </w:r>
      <w:r w:rsidRPr="00186F49">
        <w:rPr>
          <w:rFonts w:ascii="Arial" w:eastAsia="Times New Roman" w:hAnsi="Arial" w:cs="Arial"/>
          <w:kern w:val="0"/>
          <w:szCs w:val="24"/>
          <w:lang w:eastAsia="es-ES"/>
        </w:rPr>
        <w:lastRenderedPageBreak/>
        <w:t>para alcanzar la edad de sesenta (60) años si es mujer o sesenta y dos (62) si es hombre, contado desde el momento de su vinculación al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pensión de referencia así calculada, no podrá exceder el 90% del salario que tendría el afiliado al momento de tener acceso a la pensión, ni de quince salarios mínimos legales mensuales.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Una vez determinada la pensión de referencia,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se expedirán por un valor equivalente al que el afiliado hubiera debido acumular en una cuenta de ahorro, durante el período que haya efectuado cotizaciones al ISS o haya sido servidor público o haya estado empleado en una empresa que deba asumir el pago de pensiones, hasta el momento de ingreso al sistema de ahorro, para que a ese ritmo de acumulación, hubiera completado el capital necesario para financiar una pensión de vejez y para sobrevivientes, a los 62 años si son hombres y 60 años si son mujeres por un monto igual a la pensión de referencia.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todo caso, el valor nominal del bono no podrá ser inferior a las sumas aportadas obligatoriamente para la futura pensión con anterioridad a la fecha en la cual se afilie al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gobierno establecerá la metodología, procedimiento y plazos para la expedición de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porcentaje del 90% a que se refiere el inciso quinto, será del 75% en el caso de las empresas que hayan asumido el reconocimiento de pensiones a favor de sus trabajadores.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Cuando el bono a emitir corresponda a un afiliado que no provenga inmediatamente del Instituto de Seguros Sociales, ni de caja o fondo de previsión del sector público, ni de empresa que tuviese a su cargo exclusivo el pago de pensiones de sus trabajadores, el cálculo del salario que tendría a los 62 años si son hombres y 60 años si son mujeres, parte de la última base de cotización sobre la cual haya cotizado o del último salario que haya devengado en una de dichas entidades, actualizado a la fecha de ingreso al sistema, según la variación porcentual del índice de precios al consumidor del DANE.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 xml:space="preserve">Para las personas que ingresen por primera vez a la fuerza laboral con posterioridad al 30 de junio de 1992, 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se calculará como el valor de las cotizaciones efectuadas más los rendimientos obtenidos hasta la fecha de traslado.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118.-Clases</w:t>
      </w:r>
      <w:r w:rsidRPr="00186F49">
        <w:rPr>
          <w:rFonts w:ascii="Arial" w:eastAsia="Times New Roman" w:hAnsi="Arial" w:cs="Arial"/>
          <w:kern w:val="0"/>
          <w:szCs w:val="24"/>
          <w:lang w:eastAsia="es-ES"/>
        </w:rPr>
        <w:t xml:space="preserv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serán de tres clases: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expedidos por la Nación;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b)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expedidos por las cajas, fondos o entidades del sector público que no sean sustituidas por el fondo de pensiones públicas del nivel nacional a que se refiere el capítulo III del presente título, y cuya denominación </w:t>
      </w:r>
      <w:r w:rsidRPr="00186F49">
        <w:rPr>
          <w:rFonts w:ascii="Arial" w:eastAsia="Times New Roman" w:hAnsi="Arial" w:cs="Arial"/>
          <w:kern w:val="0"/>
          <w:szCs w:val="24"/>
          <w:lang w:eastAsia="es-ES"/>
        </w:rPr>
        <w:lastRenderedPageBreak/>
        <w:t xml:space="preserve">genérica de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se complementará con el nombre de la caja, fondo o entidad emisora,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expedidos por empresas privadas o públicas, o por cajas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del sector privado que hayan asumido exclusivamente a su cargo el reconocimiento y pago de pensiones y cuya denominación genérica de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se complementará con el nombre de la entidad emisora.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119.-Emisor y contribuyentes.</w:t>
      </w:r>
      <w:r w:rsidRPr="00186F49">
        <w:rPr>
          <w:rFonts w:ascii="Arial" w:eastAsia="Times New Roman" w:hAnsi="Arial" w:cs="Arial"/>
          <w:kern w:val="0"/>
          <w:szCs w:val="24"/>
          <w:lang w:eastAsia="es-ES"/>
        </w:rPr>
        <w:t xml:space="preserv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serán expedidos por la última entidad pagadora de pensiones a la cual haya pertenecido el afiliado antes de entrar al régimen de ahorro individual con solidaridad, siempre y cuando el tiempo de cotización o de servicios, continuo o discontinuo, haya sido igual o mayor a cinco (5) años.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el tiempo de cotización o de servicios en la última entidad pagadora de pensiones, sea inferior a cinco (5) años, 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será expedido por la entidad pagadora de pensiones, en la cual el afiliado haya efectuado el mayor número de aportes o haya cumplido el mayor tiempo de servicio.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los casos señalados en el artículo 121 de la presente ley, la Nación expedirá los bonos a cargo de tales entidades.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120.-Contribuciones a los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kern w:val="0"/>
          <w:szCs w:val="24"/>
          <w:lang w:eastAsia="es-ES"/>
        </w:rPr>
        <w:t xml:space="preserve">. Las entidades pagadoras de pensiones a las cuales hubiere estado afiliado o empleado el beneficiario del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tendrán la obligación de contribuir a la entidad emisora del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con la cuota parte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factor de la cuota parte será igual al tiempo aportado o servido en cada entidad, dividido por el tiempo total de cotizaciones y servicios reconocido para el cálculo del bono.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121.-   </w:t>
      </w:r>
      <w:hyperlink r:id="rId148" w:anchor="0" w:history="1">
        <w:r w:rsidRPr="00186F49">
          <w:rPr>
            <w:rFonts w:ascii="Arial" w:eastAsia="Times New Roman" w:hAnsi="Arial" w:cs="Arial"/>
            <w:color w:val="0000FF"/>
            <w:kern w:val="0"/>
            <w:szCs w:val="24"/>
            <w:u w:val="single"/>
            <w:lang w:eastAsia="es-ES"/>
          </w:rPr>
          <w:t>Reglamentado por el Decreto Nacional 3727 de 2003</w:t>
        </w:r>
      </w:hyperlink>
      <w:r w:rsidRPr="00186F49">
        <w:rPr>
          <w:rFonts w:ascii="Arial" w:eastAsia="Times New Roman" w:hAnsi="Arial" w:cs="Arial"/>
          <w:b/>
          <w:bCs/>
          <w:kern w:val="0"/>
          <w:szCs w:val="24"/>
          <w:lang w:eastAsia="es-ES"/>
        </w:rPr>
        <w:t xml:space="preserve">.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b/>
          <w:bCs/>
          <w:kern w:val="0"/>
          <w:szCs w:val="24"/>
          <w:lang w:eastAsia="es-ES"/>
        </w:rPr>
        <w:t xml:space="preserve"> y cuotas partes a cargo de la Nación</w:t>
      </w:r>
      <w:r w:rsidRPr="00186F49">
        <w:rPr>
          <w:rFonts w:ascii="Arial" w:eastAsia="Times New Roman" w:hAnsi="Arial" w:cs="Arial"/>
          <w:kern w:val="0"/>
          <w:szCs w:val="24"/>
          <w:lang w:eastAsia="es-ES"/>
        </w:rPr>
        <w:t xml:space="preserve">. La Nación expedirá un instrumento de deuda pública nacional denominado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de la naturaleza y con las características señaladas en los artículos anteriores, a los afiliados al sistema general de pensiones, cuando la responsabilidad corresponda al Instituto de los Seguros Sociales, a la Caja Nacional de Previsión Social, o a cualesquiera otra caja, fondo o entidades del sector público sustituido por el fondo de pensiones públicas del nivel nacional, y asumirá el pago de las cuotas partes a cargo de estas entidades.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bonos a cargo de la Nación se expedirán con relación a los afiliados con anterioridad a la fecha de vigencia de la presente ley y sobre el valor de la deuda imputable con anterioridad a dicha fecha.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122.-</w:t>
      </w:r>
      <w:r w:rsidRPr="00186F49">
        <w:rPr>
          <w:rFonts w:ascii="Arial" w:eastAsia="Times New Roman" w:hAnsi="Arial" w:cs="Arial"/>
          <w:kern w:val="0"/>
          <w:szCs w:val="24"/>
          <w:lang w:eastAsia="es-ES"/>
        </w:rPr>
        <w:t xml:space="preserve">Fondos para pago de cuotas partes y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de las cajas, fondos o entidades públicas no sustituidos por el fondo de pensiones públicas del nivel nacional. Las cajas, fondos o entidades del sector público que no hayan sido sustituidos por el fondo de pensiones públicas del nivel nacional, destinarán los recursos necesarios para el cumplimiento de las obligaciones </w:t>
      </w:r>
      <w:r w:rsidRPr="00186F49">
        <w:rPr>
          <w:rFonts w:ascii="Arial" w:eastAsia="Times New Roman" w:hAnsi="Arial" w:cs="Arial"/>
          <w:kern w:val="0"/>
          <w:szCs w:val="24"/>
          <w:lang w:eastAsia="es-ES"/>
        </w:rPr>
        <w:lastRenderedPageBreak/>
        <w:t xml:space="preserve">derivadas de sus correspondientes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y de las cuotas partes que les correspondan, mediante la constitución de patrimonios autónomos manejados por encargo fiduciario de acuerdo con las disposiciones que expida la Superintendencia Bancaria y las garantías que exija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Estos fondos estarán sometidos a la vigilancia y control de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recursos se apropiarán con cargo prioritario a las cotizaciones previstas en la presente ley, y cuando sea necesario también con cargo a los recursos propios de las entidades.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Nación podrá subrogar las obligaciones de que trata este artículo, para asegurar el pago de las mismas a los beneficiarios del régimen de ahorro individual con solidaridad, y los afiliados a las entidades del régimen de prestación definida, cuando la entidad tenga incapacidad temporal para asumirlas, en las condiciones que se establezcan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123.-Recursos y garantía para el pago de los bonos y obligaciones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b/>
          <w:bCs/>
          <w:kern w:val="0"/>
          <w:szCs w:val="24"/>
          <w:lang w:eastAsia="es-ES"/>
        </w:rPr>
        <w:t xml:space="preserve"> a cargo de las entidades territoriales</w:t>
      </w:r>
      <w:r w:rsidRPr="00186F49">
        <w:rPr>
          <w:rFonts w:ascii="Arial" w:eastAsia="Times New Roman" w:hAnsi="Arial" w:cs="Arial"/>
          <w:kern w:val="0"/>
          <w:szCs w:val="24"/>
          <w:lang w:eastAsia="es-ES"/>
        </w:rPr>
        <w:t xml:space="preserve">. Las entidades territoriales podrán emitir títulos de deuda pública a fin de acceder a los recursos de los fondos de pensiones en los términos previstos en el artículo 100 de esta ley. Las transferencias del presupuesto nacional se podrán pignorar a fin de garantizar las obligaciones que resulten de esta operación. Los recursos se destinarán a la redención de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y al pago de las pensiones a su cargo.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reglamentará esta materia teniendo en cuenta que las entidades territoriales deberán hacer un esfuerzo para acrecentar la participación de los recursos propios para el pago de de las pensiones a su cargo y en todo caso deberán contar con la aprobación de la Superintendencia Bancaria.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124.-Fondos para pago de cuotas partes y bonos </w:t>
      </w:r>
      <w:proofErr w:type="spellStart"/>
      <w:r w:rsidRPr="00186F49">
        <w:rPr>
          <w:rFonts w:ascii="Arial" w:eastAsia="Times New Roman" w:hAnsi="Arial" w:cs="Arial"/>
          <w:b/>
          <w:bCs/>
          <w:kern w:val="0"/>
          <w:szCs w:val="24"/>
          <w:lang w:eastAsia="es-ES"/>
        </w:rPr>
        <w:t>pensionales</w:t>
      </w:r>
      <w:proofErr w:type="spellEnd"/>
      <w:r w:rsidRPr="00186F49">
        <w:rPr>
          <w:rFonts w:ascii="Arial" w:eastAsia="Times New Roman" w:hAnsi="Arial" w:cs="Arial"/>
          <w:b/>
          <w:bCs/>
          <w:kern w:val="0"/>
          <w:szCs w:val="24"/>
          <w:lang w:eastAsia="es-ES"/>
        </w:rPr>
        <w:t xml:space="preserve"> de las empresas que tienen a su cargo exclusivo las pensiones de sus empleados</w:t>
      </w:r>
      <w:r w:rsidRPr="00186F49">
        <w:rPr>
          <w:rFonts w:ascii="Arial" w:eastAsia="Times New Roman" w:hAnsi="Arial" w:cs="Arial"/>
          <w:kern w:val="0"/>
          <w:szCs w:val="24"/>
          <w:lang w:eastAsia="es-ES"/>
        </w:rPr>
        <w:t xml:space="preserve">. Para el cumplimiento de las obligaciones derivadas de los correspondientes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y de las cuotas partes, a cargo de las empresas que tienen a su cargo exclusivo el pago de las pensiones y de las cajas de previsión del sector privado, se deberán otorgar las garantías que para el efecto determine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el monto de las obligaciones de que trata el inciso anterior, exceda las proporciones de los activos que para el efecto se establezca, se deberá constituir patrimonios autónomos manejados por encargo fiduciario, sujetos a la vigilancia y control de la superintendencia respectiva.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aportes a los fondos de que trata este artículo, serán deducibles de la renta de los contribuyentes en cuanto no se hayan deducido con anterioridad.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PARAGRAFO. 1º-</w:t>
      </w:r>
      <w:r w:rsidRPr="00186F49">
        <w:rPr>
          <w:rFonts w:ascii="Arial" w:eastAsia="Times New Roman" w:hAnsi="Arial" w:cs="Arial"/>
          <w:kern w:val="0"/>
          <w:szCs w:val="24"/>
          <w:lang w:eastAsia="es-ES"/>
        </w:rPr>
        <w:t xml:space="preserve">Se exceptúan de la obligación prevista en este artículo, los recursos destinados al pago de los beneficios de carácter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diferentes a los contemplados en esta ley, que acuerden o hayan acordado los empleadores y trabajadores del sector privado.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 xml:space="preserve">Se </w:t>
      </w:r>
      <w:proofErr w:type="spellStart"/>
      <w:r w:rsidRPr="00186F49">
        <w:rPr>
          <w:rFonts w:ascii="Arial" w:eastAsia="Times New Roman" w:hAnsi="Arial" w:cs="Arial"/>
          <w:kern w:val="0"/>
          <w:szCs w:val="24"/>
          <w:lang w:eastAsia="es-ES"/>
        </w:rPr>
        <w:t>excepcionan</w:t>
      </w:r>
      <w:proofErr w:type="spellEnd"/>
      <w:r w:rsidRPr="00186F49">
        <w:rPr>
          <w:rFonts w:ascii="Arial" w:eastAsia="Times New Roman" w:hAnsi="Arial" w:cs="Arial"/>
          <w:kern w:val="0"/>
          <w:szCs w:val="24"/>
          <w:lang w:eastAsia="es-ES"/>
        </w:rPr>
        <w:t xml:space="preserve"> de la obligación prevista en este artículo, aquellas empresas que constituyan las reservas actuariales de conformidad con las normas expedidas por la superintendencia respectiva.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125.-Adquisición de acciones de empresas.</w:t>
      </w:r>
      <w:r w:rsidRPr="00186F49">
        <w:rPr>
          <w:rFonts w:ascii="Arial" w:eastAsia="Times New Roman" w:hAnsi="Arial" w:cs="Arial"/>
          <w:kern w:val="0"/>
          <w:szCs w:val="24"/>
          <w:lang w:eastAsia="es-ES"/>
        </w:rPr>
        <w:t xml:space="preserv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de los afiliados que hayan acumulado en sus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el capital necesario para obtener una pensión de vejez superior al 110% de la pensión mínima de vejez vigente, podrán ser destinados para la adquisición, en condiciones preferenciales, de acciones de empresas públicas.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tal caso, los administradores de los fondos representarán a los tenedores de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frente a los emisores de las acciones, previa autorización expresa del afiliado y de acuerdo con la reglamentación que el Gobierno Nacional expida.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126.-Créditos privilegiados</w:t>
      </w:r>
      <w:r w:rsidRPr="00186F49">
        <w:rPr>
          <w:rFonts w:ascii="Arial" w:eastAsia="Times New Roman" w:hAnsi="Arial" w:cs="Arial"/>
          <w:kern w:val="0"/>
          <w:szCs w:val="24"/>
          <w:lang w:eastAsia="es-ES"/>
        </w:rPr>
        <w:t>. Los créditos causados o exigibles por concepto de los bonos y cuotas partes de que trata este capítulo, pertenecen a la primera clase del artículo 2495 del Código Civil y tienen el mismo privilegio que los créditos por concepto de salarios, prestaciones sociales o indemnizaciones laborales.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127.-Títulos de deuda interna</w:t>
      </w:r>
      <w:r w:rsidRPr="00186F49">
        <w:rPr>
          <w:rFonts w:ascii="Arial" w:eastAsia="Times New Roman" w:hAnsi="Arial" w:cs="Arial"/>
          <w:kern w:val="0"/>
          <w:szCs w:val="24"/>
          <w:lang w:eastAsia="es-ES"/>
        </w:rPr>
        <w:t xml:space="preserve">. </w:t>
      </w:r>
      <w:proofErr w:type="spellStart"/>
      <w:r w:rsidRPr="00186F49">
        <w:rPr>
          <w:rFonts w:ascii="Arial" w:eastAsia="Times New Roman" w:hAnsi="Arial" w:cs="Arial"/>
          <w:kern w:val="0"/>
          <w:szCs w:val="24"/>
          <w:lang w:eastAsia="es-ES"/>
        </w:rPr>
        <w:t>Autorízase</w:t>
      </w:r>
      <w:proofErr w:type="spellEnd"/>
      <w:r w:rsidRPr="00186F49">
        <w:rPr>
          <w:rFonts w:ascii="Arial" w:eastAsia="Times New Roman" w:hAnsi="Arial" w:cs="Arial"/>
          <w:kern w:val="0"/>
          <w:szCs w:val="24"/>
          <w:lang w:eastAsia="es-ES"/>
        </w:rPr>
        <w:t xml:space="preserve"> al Gobierno Nacional para expedir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a cargo de la Nación y títulos de deuda pública interna de la Nación, hasta por el valor necesario para pagar las pensiones que queden a su cargo en virtud de lo dispuesto en esta ley, más las obligaciones correspondientes a dichos bonos y a las cuotas partes con las cuales haya de contribuir a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expedidos por los demás emisores de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emisión de los títulos que por la presente ley se autoriza, sólo requerirá concepto previo de la Junta Directiva del Banco de la República y decreto del Gobierno Nacional, mediante el cual se señalen las clases, características y condiciones financieras de emisión, colocación y administración de los títulos.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Nación, a través del Ministerio de Hacienda y Crédito Público, podrá administrar directamente los títulos de deuda pública, que por la presente ley se autorizan. Así mismo, podrá autorizar celebrar con entidades nacionales o extranjeras contratos para la agencia, emisión, edición, colocación, garantía, administración y servicio de los respectivos títulos.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Tales contratos sólo requerirán para su celebración, validez y perfeccionamiento, de la firma de las partes y su publicación en el Diario Oficial, requisito que se entiende cumplido con la orden impartida por el director general de crédito público.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aplicables a los servidores públicos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128.- </w:t>
      </w:r>
      <w:hyperlink r:id="rId149" w:anchor="1" w:history="1">
        <w:r w:rsidRPr="00186F49">
          <w:rPr>
            <w:rFonts w:ascii="Arial" w:eastAsia="Times New Roman" w:hAnsi="Arial" w:cs="Arial"/>
            <w:color w:val="0000FF"/>
            <w:kern w:val="0"/>
            <w:szCs w:val="24"/>
            <w:u w:val="single"/>
            <w:lang w:eastAsia="es-ES"/>
          </w:rPr>
          <w:t>Reglamentado parcialmente por el Decreto Nacional 13 de 2001</w:t>
        </w:r>
      </w:hyperlink>
      <w:r w:rsidRPr="00186F49">
        <w:rPr>
          <w:rFonts w:ascii="Arial" w:eastAsia="Times New Roman" w:hAnsi="Arial" w:cs="Arial"/>
          <w:b/>
          <w:bCs/>
          <w:kern w:val="0"/>
          <w:szCs w:val="24"/>
          <w:lang w:eastAsia="es-ES"/>
        </w:rPr>
        <w:t xml:space="preserve"> Selección del régimen</w:t>
      </w:r>
      <w:r w:rsidRPr="00186F49">
        <w:rPr>
          <w:rFonts w:ascii="Arial" w:eastAsia="Times New Roman" w:hAnsi="Arial" w:cs="Arial"/>
          <w:kern w:val="0"/>
          <w:szCs w:val="24"/>
          <w:lang w:eastAsia="es-ES"/>
        </w:rPr>
        <w:t>. Los servidores públicos afiliados al sistema general de pensiones podrán escoger el régimen al que deseen afiliarse, lo cual deberá informarse al empleador por escrito.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servidores públicos que se acojan al régimen de prestación definida, podrán continuar afiliados a la caja, fondo o entidad de previsión a la cual se hallen vinculados. Estas entidades administrarán los recursos y pagarán las pensiones conforme a las disposiciones de dicho régimen previstas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servidores públicos que no estén afiliados a una caja, fondo o entidad de previsión o seguridad social, aquéllos que se hallen afiliados a alguna de estas entidades cuya liquidación se ordene, y los que ingresen por primera vez a la fuerza laboral, en caso de que seleccionen el régimen de prestación definida, se afiliarán al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servidores públicos nacionales cualquiera sea el régimen que seleccionen, tendrán derecho a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 afiliación del régimen seleccionado implica la aceptación de las condiciones propias de éste, para acceder a las pensiones de vejez, de invalidez y de sobrevivientes.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Entidades del sector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129.-Prohibición general</w:t>
      </w:r>
      <w:r w:rsidRPr="00186F49">
        <w:rPr>
          <w:rFonts w:ascii="Arial" w:eastAsia="Times New Roman" w:hAnsi="Arial" w:cs="Arial"/>
          <w:kern w:val="0"/>
          <w:szCs w:val="24"/>
          <w:lang w:eastAsia="es-ES"/>
        </w:rPr>
        <w:t>. A partir de la vigencia de la presente ley, se prohíbe la creación de nuevas cajas, fondos o entidades de previsión o de seguridad social del sector público, de cualquier orden nacional o territorial, diferentes a aquéllas que de conformidad con lo previsto en la presente ley, se constituyan como entidades promotoras o prestadoras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2" w:name="BM130"/>
      <w:r w:rsidRPr="00186F49">
        <w:rPr>
          <w:rFonts w:ascii="Arial" w:eastAsia="Times New Roman" w:hAnsi="Arial" w:cs="Arial"/>
          <w:b/>
          <w:bCs/>
          <w:kern w:val="0"/>
          <w:szCs w:val="24"/>
          <w:lang w:eastAsia="es-ES"/>
        </w:rPr>
        <w:t> </w:t>
      </w:r>
      <w:bookmarkEnd w:id="52"/>
      <w:r w:rsidRPr="00186F49">
        <w:rPr>
          <w:rFonts w:ascii="Arial" w:eastAsia="Times New Roman" w:hAnsi="Arial" w:cs="Arial"/>
          <w:b/>
          <w:bCs/>
          <w:kern w:val="0"/>
          <w:szCs w:val="24"/>
          <w:lang w:eastAsia="es-ES"/>
        </w:rPr>
        <w:t>130.-</w:t>
      </w:r>
      <w:hyperlink r:id="rId150" w:anchor="0" w:history="1">
        <w:r w:rsidRPr="00186F49">
          <w:rPr>
            <w:rFonts w:ascii="Arial" w:eastAsia="Times New Roman" w:hAnsi="Arial" w:cs="Arial"/>
            <w:color w:val="0000FF"/>
            <w:kern w:val="0"/>
            <w:szCs w:val="24"/>
            <w:u w:val="single"/>
            <w:lang w:eastAsia="es-ES"/>
          </w:rPr>
          <w:t>Reglamentado por el Decreto Nacional 1890 de 1995</w:t>
        </w:r>
      </w:hyperlink>
      <w:r w:rsidRPr="00186F49">
        <w:rPr>
          <w:rFonts w:ascii="Arial" w:eastAsia="Times New Roman" w:hAnsi="Arial" w:cs="Arial"/>
          <w:b/>
          <w:bCs/>
          <w:kern w:val="0"/>
          <w:szCs w:val="24"/>
          <w:lang w:eastAsia="es-ES"/>
        </w:rPr>
        <w:t xml:space="preserve"> , </w:t>
      </w:r>
      <w:hyperlink r:id="rId151" w:anchor="0" w:history="1">
        <w:r w:rsidRPr="00186F49">
          <w:rPr>
            <w:rFonts w:ascii="Arial" w:eastAsia="Times New Roman" w:hAnsi="Arial" w:cs="Arial"/>
            <w:color w:val="0000FF"/>
            <w:kern w:val="0"/>
            <w:szCs w:val="24"/>
            <w:u w:val="single"/>
            <w:lang w:eastAsia="es-ES"/>
          </w:rPr>
          <w:t>Reglamentado por el Decreto Nacional 3727 de 2003</w:t>
        </w:r>
      </w:hyperlink>
      <w:r w:rsidRPr="00186F49">
        <w:rPr>
          <w:rFonts w:ascii="Arial" w:eastAsia="Times New Roman" w:hAnsi="Arial" w:cs="Arial"/>
          <w:b/>
          <w:bCs/>
          <w:kern w:val="0"/>
          <w:szCs w:val="24"/>
          <w:lang w:eastAsia="es-ES"/>
        </w:rPr>
        <w:t>. Fondo de pensiones públicas del nivel nacional</w:t>
      </w:r>
      <w:r w:rsidRPr="00186F49">
        <w:rPr>
          <w:rFonts w:ascii="Arial" w:eastAsia="Times New Roman" w:hAnsi="Arial" w:cs="Arial"/>
          <w:kern w:val="0"/>
          <w:szCs w:val="24"/>
          <w:lang w:eastAsia="es-ES"/>
        </w:rPr>
        <w:t>. Créase el fondo de pensiones públicas del nivel nacional, como una cuenta de la Nación adscrita al Ministerio de Trabajo y Seguridad Social, cuyos recursos se administrarán mediante encargo fiduciario.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fondo sustituirá a la Caja Nacional de Previsión Social en lo relacionado con el pago de las pensiones de vejez o de jubilación, de invalidez y de sustitución o sobrevivientes, y a las demás cajas de previsión o fondos insolventes del sector público del orden nacional, que el gobierno determine y para los mismos efectos. El Gobierno Nacional establecerá los mecanismos requeridos para el </w:t>
      </w:r>
      <w:r w:rsidRPr="00186F49">
        <w:rPr>
          <w:rFonts w:ascii="Arial" w:eastAsia="Times New Roman" w:hAnsi="Arial" w:cs="Arial"/>
          <w:kern w:val="0"/>
          <w:szCs w:val="24"/>
          <w:lang w:eastAsia="es-ES"/>
        </w:rPr>
        <w:lastRenderedPageBreak/>
        <w:t>pago de las pensiones reconocidas o causadas con anterioridad a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partir de 1995, todas las obligaciones por concepto de pensiones de vejez, de invalidez y de sobrevivientes, reconocidas por la Caja Nacional de Previsión, serán pagadas por el fondo de pensiones públicas de nivel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Fondo de Previsión Social del Congreso de la República, creado por la Ley 33 de 1985 continuará siendo responsable del reconocimiento y pago de las pensiones de vejez o jubilación, de invalidez y de sobrevivientes, y de los servicios de salud de los congresistas y de los empleados del Congreso y del fondo que aporten para los sistemas de pensiones y de salud de conformidad con las normas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3" w:name="BM131"/>
      <w:r w:rsidRPr="00186F49">
        <w:rPr>
          <w:rFonts w:ascii="Arial" w:eastAsia="Times New Roman" w:hAnsi="Arial" w:cs="Arial"/>
          <w:b/>
          <w:bCs/>
          <w:kern w:val="0"/>
          <w:szCs w:val="24"/>
          <w:lang w:eastAsia="es-ES"/>
        </w:rPr>
        <w:t> </w:t>
      </w:r>
      <w:bookmarkStart w:id="54" w:name="131"/>
      <w:bookmarkEnd w:id="53"/>
      <w:r w:rsidRPr="00186F49">
        <w:rPr>
          <w:rFonts w:ascii="Arial" w:eastAsia="Times New Roman" w:hAnsi="Arial" w:cs="Arial"/>
          <w:b/>
          <w:bCs/>
          <w:kern w:val="0"/>
          <w:szCs w:val="24"/>
          <w:lang w:eastAsia="es-ES"/>
        </w:rPr>
        <w:t> </w:t>
      </w:r>
      <w:bookmarkEnd w:id="54"/>
      <w:r w:rsidRPr="00186F49">
        <w:rPr>
          <w:rFonts w:ascii="Arial" w:eastAsia="Times New Roman" w:hAnsi="Arial" w:cs="Arial"/>
          <w:b/>
          <w:bCs/>
          <w:kern w:val="0"/>
          <w:szCs w:val="24"/>
          <w:lang w:eastAsia="es-ES"/>
        </w:rPr>
        <w:t>131</w:t>
      </w:r>
      <w:r w:rsidRPr="00186F49">
        <w:rPr>
          <w:rFonts w:ascii="Arial" w:eastAsia="Times New Roman" w:hAnsi="Arial" w:cs="Arial"/>
          <w:kern w:val="0"/>
          <w:szCs w:val="24"/>
          <w:lang w:eastAsia="es-ES"/>
        </w:rPr>
        <w:t>.- </w:t>
      </w:r>
      <w:hyperlink r:id="rId152" w:anchor="0" w:history="1">
        <w:r w:rsidRPr="00186F49">
          <w:rPr>
            <w:rFonts w:ascii="Arial" w:eastAsia="Times New Roman" w:hAnsi="Arial" w:cs="Arial"/>
            <w:color w:val="0000FF"/>
            <w:kern w:val="0"/>
            <w:szCs w:val="24"/>
            <w:u w:val="single"/>
            <w:lang w:eastAsia="es-ES"/>
          </w:rPr>
          <w:t>Reglamentado por el Decreto Nacional 2337 de 1996</w:t>
        </w:r>
      </w:hyperlink>
      <w:r w:rsidRPr="00186F49">
        <w:rPr>
          <w:rFonts w:ascii="Arial" w:eastAsia="Times New Roman" w:hAnsi="Arial" w:cs="Arial"/>
          <w:kern w:val="0"/>
          <w:szCs w:val="24"/>
          <w:lang w:eastAsia="es-ES"/>
        </w:rPr>
        <w:t xml:space="preserve">, </w:t>
      </w:r>
      <w:hyperlink r:id="rId153" w:anchor="0" w:history="1">
        <w:r w:rsidRPr="00186F49">
          <w:rPr>
            <w:rFonts w:ascii="Arial" w:eastAsia="Times New Roman" w:hAnsi="Arial" w:cs="Arial"/>
            <w:color w:val="0000FF"/>
            <w:kern w:val="0"/>
            <w:szCs w:val="24"/>
            <w:u w:val="single"/>
            <w:lang w:eastAsia="es-ES"/>
          </w:rPr>
          <w:t>Reglamentado parcialmente por el Decreto Nacional 3734 de 2008</w:t>
        </w:r>
      </w:hyperlink>
      <w:r w:rsidRPr="00186F49">
        <w:rPr>
          <w:rFonts w:ascii="Arial" w:eastAsia="Times New Roman" w:hAnsi="Arial" w:cs="Arial"/>
          <w:kern w:val="0"/>
          <w:szCs w:val="24"/>
          <w:lang w:eastAsia="es-ES"/>
        </w:rPr>
        <w:t xml:space="preserve">.  Fondo para pagar el pasivo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 las universidades oficiales y de las instituciones oficiales de educación superior de naturaleza territorial. Cada una de las instituciones de educación superior oficiales del nivel territorial, departamental, Distrital, municipal, constituirá un fondo para el pago del pasivo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contraído a la fecha en la cual esta ley entre en vigencia, hasta por un monto igual al valor de dicho pasivo que no esté constituido en reservas en las cajas de previsión, o fondos autorizados, descontando el valor actuarial de las futuras cotizaciones que las instituciones como empleadores y los empleados deban efectuar según lo previsto en la presente ley, en aquella parte que corresponda a funcionarios, empleados o trabajadores vinculados hasta la fecha de iniciación de la vigencia de la presente ley.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Dicho fondo se manejará como una subcuenta en el presupuesto de cada institución. Será financiado por la Nación, los departamentos, los distritos y los municipios, que aportarán en la misma proporción en que hayan contribuido al presupuesto de la respectiva universidad o institución de educación superior, teniendo en cuenta el promedio de los cinco (5) últimos presupuestos anuales, anteriores al año de iniciación de la vigencia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aportes constarán en bonos de valor constante de las respectivas entidades que se redimirán a medida que se haga exigible el pago de las obligaciones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de acuerdo con las proyecciones presupuestales y los cálculos actuariales, y de conformidad con la reglamentación que para el efecto establezca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Dentro del año siguiente a la iniciación de la vigencia de la presente ley, las universidades y las instituciones de educación superior referidas en este artículo, elaborarán o actualizarán los estudios actuariales con el visto bueno del Ministerio de Hacienda. Este requisito es necesario para la suscripción de los bonos que representen los aportes de la Nación. Esta suscripción deberá hacerse dentro de los dos (2) primeros años de la vigencia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54" w:anchor="1" w:history="1">
        <w:r w:rsidRPr="00186F49">
          <w:rPr>
            <w:rFonts w:ascii="Arial" w:eastAsia="Times New Roman" w:hAnsi="Arial" w:cs="Arial"/>
            <w:color w:val="0000FF"/>
            <w:kern w:val="0"/>
            <w:szCs w:val="24"/>
            <w:u w:val="single"/>
            <w:lang w:eastAsia="es-ES"/>
          </w:rPr>
          <w:t>Ver art. 1 Ley 758 de 2002</w:t>
        </w:r>
      </w:hyperlink>
      <w:r w:rsidRPr="00186F49">
        <w:rPr>
          <w:rFonts w:ascii="Arial" w:eastAsia="Times New Roman" w:hAnsi="Arial" w:cs="Arial"/>
          <w:kern w:val="0"/>
          <w:szCs w:val="24"/>
          <w:lang w:eastAsia="es-ES"/>
        </w:rPr>
        <w:t xml:space="preserve">, </w:t>
      </w:r>
      <w:hyperlink r:id="rId155" w:anchor="0" w:history="1">
        <w:r w:rsidRPr="00186F49">
          <w:rPr>
            <w:rFonts w:ascii="Arial" w:eastAsia="Times New Roman" w:hAnsi="Arial" w:cs="Arial"/>
            <w:color w:val="0000FF"/>
            <w:kern w:val="0"/>
            <w:szCs w:val="24"/>
            <w:u w:val="single"/>
            <w:lang w:eastAsia="es-ES"/>
          </w:rPr>
          <w:t>Ver Ley 1371 de 2009</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132.-Separación de riesgos</w:t>
      </w:r>
      <w:r w:rsidRPr="00186F49">
        <w:rPr>
          <w:rFonts w:ascii="Arial" w:eastAsia="Times New Roman" w:hAnsi="Arial" w:cs="Arial"/>
          <w:kern w:val="0"/>
          <w:szCs w:val="24"/>
          <w:lang w:eastAsia="es-ES"/>
        </w:rPr>
        <w:t>. A partir de la vigencia de la presente ley, las cajas, fondos y entidades del sector público, en todos sus órdenes, deberán financiar y administrar en forma independiente y en cuentas separadas, las pensiones de vejez, de invalidez y de sobrevivientes, del régimen de protección contra los riesgos profesionales y del régimen de amparo contra enfermedad general y maternidad. Deberán además administrar las mismas en cuentas separadas con respecto a las cuentas y conceptos restantes utilizadas por la administración respectiva.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finales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133.-Pensión sanción</w:t>
      </w:r>
      <w:r w:rsidRPr="00186F49">
        <w:rPr>
          <w:rFonts w:ascii="Arial" w:eastAsia="Times New Roman" w:hAnsi="Arial" w:cs="Arial"/>
          <w:kern w:val="0"/>
          <w:szCs w:val="24"/>
          <w:lang w:eastAsia="es-ES"/>
        </w:rPr>
        <w:t>. El artículo 267 del Código Sustantivo del Trabajo, subrogado por el artículo 37 de la Ley 50 de 1990,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trabajador no afiliado al sistema general de pensiones por omisión del empleador, que sin justa causa sea despedido después de haber laborado para el mismo empleador durante diez (10) años o más y menos de quince (15) años, continuos o discontinuos, anteriores o posteriores a la vigencia de la presente ley, tendrá derecho a que dicho empleador lo pensione desde la fecha de su despido, si para entonces tiene cumplidos sesenta (60) años de edad si es hombre, o cincuenta y cinco (55) años de edad si es mujer, o desde la fecha en que cumpla esa edad con posterioridad al despido.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Si el retiro se produce por despido sin justa causa después de quince (15) años de dichos servicios, la pensión se pagará cuando el trabajador despedido cumpla cincuenta y cinco (55) años de edad si es hombre, o cincuenta (50) años de edad si es mujer, o desde la fecha del despido, si ya los hubiere cumplido.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cuantía de la pensión será directamente proporcional al tiempo de servicios respecto de la que le habría correspondido al trabajador en caso de reunir todos los requisitos para acceder a la pensión de vejez en el régimen de prima media con prestación definida y se liquidará con base en el promedio devengado en los últimos diez (10) años de servicios, actualizado con base en la variación del índice de precios al consumidor certificada por el DANE</w:t>
      </w:r>
      <w:r w:rsidRPr="00186F49">
        <w:rPr>
          <w:rFonts w:ascii="Arial" w:eastAsia="Times New Roman" w:hAnsi="Arial" w:cs="Arial"/>
          <w:b/>
          <w:bCs/>
          <w:kern w:val="0"/>
          <w:szCs w:val="24"/>
          <w:lang w:eastAsia="es-ES"/>
        </w:rPr>
        <w:t xml:space="preserve">. Ver articulo 37 </w:t>
      </w:r>
      <w:hyperlink r:id="rId156" w:anchor="1" w:history="1">
        <w:r w:rsidRPr="00186F49">
          <w:rPr>
            <w:rFonts w:ascii="Arial" w:eastAsia="Times New Roman" w:hAnsi="Arial" w:cs="Arial"/>
            <w:color w:val="0000FF"/>
            <w:kern w:val="0"/>
            <w:szCs w:val="24"/>
            <w:u w:val="single"/>
            <w:lang w:eastAsia="es-ES"/>
          </w:rPr>
          <w:t>Ley 50 de 1990.</w:t>
        </w:r>
        <w:r w:rsidRPr="00186F49">
          <w:rPr>
            <w:rFonts w:ascii="Arial" w:eastAsia="Times New Roman" w:hAnsi="Arial" w:cs="Arial"/>
            <w:b/>
            <w:bCs/>
            <w:color w:val="0000FF"/>
            <w:kern w:val="0"/>
            <w:szCs w:val="24"/>
            <w:u w:val="single"/>
            <w:lang w:eastAsia="es-ES"/>
          </w:rPr>
          <w:t xml:space="preserve">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1º</w:t>
      </w:r>
      <w:r w:rsidRPr="00186F49">
        <w:rPr>
          <w:rFonts w:ascii="Arial" w:eastAsia="Times New Roman" w:hAnsi="Arial" w:cs="Arial"/>
          <w:kern w:val="0"/>
          <w:szCs w:val="24"/>
          <w:lang w:eastAsia="es-ES"/>
        </w:rPr>
        <w:t>-Lo dispuesto en el presente artículo se aplicará exclusivamente a los servidores públicos que tengan la calidad de trabajadores oficiales y a los trabajadores del sector privado.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Las pensiones de que trata el presente artículo podrán ser conmutadas con el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PARAGARFO. 3º-</w:t>
      </w:r>
      <w:r w:rsidRPr="00186F49">
        <w:rPr>
          <w:rFonts w:ascii="Arial" w:eastAsia="Times New Roman" w:hAnsi="Arial" w:cs="Arial"/>
          <w:kern w:val="0"/>
          <w:szCs w:val="24"/>
          <w:lang w:eastAsia="es-ES"/>
        </w:rPr>
        <w:t xml:space="preserve">A partir del 1º de enero de año 2014 las edades a que se refiere el presente artículo, se reajustarán a sesenta y dos (62) años si es hombre y cincuenta y siete (57) años si es mujer, cuando el despido se produce después de haber laborado para el mismo empleador durante diez (10) años o </w:t>
      </w:r>
      <w:r w:rsidRPr="00186F49">
        <w:rPr>
          <w:rFonts w:ascii="Arial" w:eastAsia="Times New Roman" w:hAnsi="Arial" w:cs="Arial"/>
          <w:kern w:val="0"/>
          <w:szCs w:val="24"/>
          <w:lang w:eastAsia="es-ES"/>
        </w:rPr>
        <w:lastRenderedPageBreak/>
        <w:t>más y menos de quince (15) años, y a sesenta (60) años si es hombre y cincuenta y cinco (55) años si es mujer, cuando el despido se produce después de quince (15) años de dichos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134.-Inembargabilidad. Son inembargables</w:t>
      </w:r>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Los recursos de los fondos de pensiones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Los recursos de los fondos de reparto del régimen de prima media con prestación definida y sus respectivas reservas.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3.  Las sumas abonadas en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del régimen de ahorro individual con solidaridad, y sus respectivos rendimientos.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Las sumas destinadas a pagar los seguros de invalidez y de sobrevivientes dentro del mismo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Las pensiones y demás prestaciones que reconoce esta ley, cualquiera que sea su cuantía, salvo que se trate de embargos por pensiones alimenticias o créditos a favor de cooperativas, de conformidad con las disposiciones legales vigentes sobre la materia.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6.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y los recursos para el pago de los bonos y cuotas partes de bono de que trata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7.  Los recursos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-No obstante lo dispuesto en el presente artículo, las cotizaciones voluntarias y sus rendimientos financieros sólo gozarán de los mismos beneficios que la ley concede a las cuentas de ahorro en UPAC, en términos de </w:t>
      </w:r>
      <w:proofErr w:type="spellStart"/>
      <w:proofErr w:type="gramStart"/>
      <w:r w:rsidRPr="00186F49">
        <w:rPr>
          <w:rFonts w:ascii="Arial" w:eastAsia="Times New Roman" w:hAnsi="Arial" w:cs="Arial"/>
          <w:kern w:val="0"/>
          <w:szCs w:val="24"/>
          <w:lang w:eastAsia="es-ES"/>
        </w:rPr>
        <w:t>inembargabilidad</w:t>
      </w:r>
      <w:proofErr w:type="spellEnd"/>
      <w:r w:rsidRPr="00186F49">
        <w:rPr>
          <w:rFonts w:ascii="Arial" w:eastAsia="Times New Roman" w:hAnsi="Arial" w:cs="Arial"/>
          <w:kern w:val="0"/>
          <w:szCs w:val="24"/>
          <w:lang w:eastAsia="es-ES"/>
        </w:rPr>
        <w:t xml:space="preserve"> .</w:t>
      </w:r>
      <w:proofErr w:type="gramEnd"/>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135.-Tratamiento tributario</w:t>
      </w:r>
      <w:r w:rsidRPr="00186F49">
        <w:rPr>
          <w:rFonts w:ascii="Arial" w:eastAsia="Times New Roman" w:hAnsi="Arial" w:cs="Arial"/>
          <w:kern w:val="0"/>
          <w:szCs w:val="24"/>
          <w:lang w:eastAsia="es-ES"/>
        </w:rPr>
        <w:t xml:space="preserve">. Los recursos de los fondos de pensiones del régimen de ahorro individual con solidaridad, los recursos de los fondos de reparto del régimen de prima media con prestación definida, los recursos de los fondos para el pago de los bonos cuotas partes de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y los recursos del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gozan de exención de toda clase de impuestos, tasas y contribuciones de cualquier origen, del orden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Estarán exentos del impuesto sobre la renta y complementarios: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El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La Caja Nacional de Previsión y las demás cajas y fondos de previsión o seguridad social del sector público, mientras subsistan.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3.  Las sumas abonadas en las cuentas individuales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del régimen de ahorro individual con solidaridad y sus respectivos rendimientos.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4.  Las sumas destinadas al pago de los seguros de invalidez y de sobrevivientes dentro del mismo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Las pensiones estarán exentas del impuesto sobre la renta. A partir del 1º de enero de 1998 estarán gravadas sólo en la parte que exceda de veinticinco (25) salarios mínimos.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Estarán exentos del impuesto a las ventas: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Los servicios prestados por las administradoras dentro del régimen de ahorro individual con solidaridad y de prima media con prestación definida.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Los servicios de seguros y reaseguros que prestan las compañías de seguros, para invalidez y sobrevivientes contemplados dentro del régimen de ahorro individual con solidaridad.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Estarán exentos del impuesto de timbre los actos o documentos relacionados con la administración del sistema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Los aportes obligatorios y voluntarios que se efectúen al sistema general de pensiones no harán parte de la base para aplicar la retención en la fuente por salarios y serán considerados como un ingreso no constitutivo de renta ni de ganancia ocasional. Los aportes a cargo del empleador serán deducibles de su renta.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Las disposiciones a que se refiere el presente artículo y el artículo anterior, serán aplicables, en lo pertinente, a los fondos de pensiones de que trata el Decreto 2513 de 1987 y a los seguros privados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 xml:space="preserve">En ningún caso los pagos efectuados por concepto de cesantía serán sujetos de retención en la fuente </w:t>
      </w:r>
      <w:r w:rsidRPr="00186F49">
        <w:rPr>
          <w:rFonts w:ascii="Arial" w:eastAsia="Times New Roman" w:hAnsi="Arial" w:cs="Arial"/>
          <w:b/>
          <w:bCs/>
          <w:kern w:val="0"/>
          <w:szCs w:val="24"/>
          <w:lang w:eastAsia="es-ES"/>
        </w:rPr>
        <w:t>por parte de la Nación</w:t>
      </w:r>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texto en negrilla fue declarado inexequible por la Corte Constitucional en Sentencia C-397 de 1994.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136.-</w:t>
      </w:r>
      <w:r w:rsidRPr="00186F49">
        <w:rPr>
          <w:rFonts w:ascii="Arial" w:eastAsia="Times New Roman" w:hAnsi="Arial" w:cs="Arial"/>
          <w:kern w:val="0"/>
          <w:szCs w:val="24"/>
          <w:lang w:eastAsia="es-ES"/>
        </w:rPr>
        <w:t xml:space="preserve">Tratamiento tributario de los excedentes de libre disponibilidad. El retiro de los excedentes de libre disponibilidad, en la parte que corresponda a rentabilidad real de las cuentas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para fines diferentes a la financiación de pensiones, estará gravado con el impuesto sobre la renta.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137.-Faltantes a cargo de la Nación.</w:t>
      </w:r>
      <w:r w:rsidRPr="00186F49">
        <w:rPr>
          <w:rFonts w:ascii="Arial" w:eastAsia="Times New Roman" w:hAnsi="Arial" w:cs="Arial"/>
          <w:kern w:val="0"/>
          <w:szCs w:val="24"/>
          <w:lang w:eastAsia="es-ES"/>
        </w:rPr>
        <w:t xml:space="preserve"> La Nación asumirá el pago de pensiones reconocidas por el Instituto de Seguros Sociales, la Caja Nacional de Previsión y otras cajas o fondos del sector público sustituidos por el fondo de pensiones públicas del nivel nacional, incluido este último, en cuanto se agotasen las reservas constituidas para el efecto y sólo por el monto de dicho faltante. </w:t>
      </w:r>
      <w:hyperlink r:id="rId157" w:anchor="1" w:history="1">
        <w:r w:rsidRPr="00186F49">
          <w:rPr>
            <w:rFonts w:ascii="Arial" w:eastAsia="Times New Roman" w:hAnsi="Arial" w:cs="Arial"/>
            <w:color w:val="0000FF"/>
            <w:kern w:val="0"/>
            <w:szCs w:val="24"/>
            <w:u w:val="single"/>
            <w:lang w:eastAsia="es-ES"/>
          </w:rPr>
          <w:t xml:space="preserve">Ver Sentencia Corte Constitucional 0518 de 1995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138.-Garantía estatal en el régimen de prima media con prestación definida</w:t>
      </w:r>
      <w:r w:rsidRPr="00186F49">
        <w:rPr>
          <w:rFonts w:ascii="Arial" w:eastAsia="Times New Roman" w:hAnsi="Arial" w:cs="Arial"/>
          <w:kern w:val="0"/>
          <w:szCs w:val="24"/>
          <w:lang w:eastAsia="es-ES"/>
        </w:rPr>
        <w:t xml:space="preserve">. El Estado responderá por las obligaciones del Instituto de </w:t>
      </w:r>
      <w:r w:rsidRPr="00186F49">
        <w:rPr>
          <w:rFonts w:ascii="Arial" w:eastAsia="Times New Roman" w:hAnsi="Arial" w:cs="Arial"/>
          <w:kern w:val="0"/>
          <w:szCs w:val="24"/>
          <w:lang w:eastAsia="es-ES"/>
        </w:rPr>
        <w:lastRenderedPageBreak/>
        <w:t>Seguros Sociales para con sus afiliados al régimen de prima media con prestación definida, cuando los ingresos y las reservas de dicha entidad se agotasen, siempre que se hubiesen cobrado las cotizaciones en los términos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5" w:name="BM139"/>
      <w:r w:rsidRPr="00186F49">
        <w:rPr>
          <w:rFonts w:ascii="Arial" w:eastAsia="Times New Roman" w:hAnsi="Arial" w:cs="Arial"/>
          <w:b/>
          <w:bCs/>
          <w:kern w:val="0"/>
          <w:szCs w:val="24"/>
          <w:lang w:eastAsia="es-ES"/>
        </w:rPr>
        <w:t> </w:t>
      </w:r>
      <w:bookmarkEnd w:id="55"/>
      <w:r w:rsidRPr="00186F49">
        <w:rPr>
          <w:rFonts w:ascii="Arial" w:eastAsia="Times New Roman" w:hAnsi="Arial" w:cs="Arial"/>
          <w:b/>
          <w:bCs/>
          <w:kern w:val="0"/>
          <w:szCs w:val="24"/>
          <w:lang w:eastAsia="es-ES"/>
        </w:rPr>
        <w:t>139.-Facultades extraordinarias</w:t>
      </w:r>
      <w:r w:rsidRPr="00186F49">
        <w:rPr>
          <w:rFonts w:ascii="Arial" w:eastAsia="Times New Roman" w:hAnsi="Arial" w:cs="Arial"/>
          <w:kern w:val="0"/>
          <w:szCs w:val="24"/>
          <w:lang w:eastAsia="es-ES"/>
        </w:rPr>
        <w:t xml:space="preserve">. De conformidad con lo previsto en el ordinal 10 del artículo 150 de la Constitución Política, revístase al Presidente de la República de precisas facultades extraordinarias por el término de seis (6) meses contados desde la fecha de publicación de la presente ley para: </w:t>
      </w:r>
      <w:r w:rsidRPr="00186F49">
        <w:rPr>
          <w:rFonts w:ascii="Arial" w:eastAsia="Times New Roman" w:hAnsi="Arial" w:cs="Arial"/>
          <w:b/>
          <w:bCs/>
          <w:kern w:val="0"/>
          <w:szCs w:val="24"/>
          <w:lang w:eastAsia="es-ES"/>
        </w:rPr>
        <w:t xml:space="preserve">Ver articulo2, 3 y 4 del </w:t>
      </w:r>
      <w:hyperlink r:id="rId158" w:anchor="1" w:history="1">
        <w:r w:rsidRPr="00186F49">
          <w:rPr>
            <w:rFonts w:ascii="Arial" w:eastAsia="Times New Roman" w:hAnsi="Arial" w:cs="Arial"/>
            <w:b/>
            <w:bCs/>
            <w:color w:val="0000FF"/>
            <w:kern w:val="0"/>
            <w:szCs w:val="24"/>
            <w:u w:val="single"/>
            <w:lang w:eastAsia="es-ES"/>
          </w:rPr>
          <w:t xml:space="preserve">Decreto Nacional 2108 de 1992.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1.  Determinar la estructura, administración, recursos, y demás disposiciones necesarias para el funcionamiento de la </w:t>
      </w:r>
      <w:proofErr w:type="spellStart"/>
      <w:r w:rsidRPr="00186F49">
        <w:rPr>
          <w:rFonts w:ascii="Arial" w:eastAsia="Times New Roman" w:hAnsi="Arial" w:cs="Arial"/>
          <w:kern w:val="0"/>
          <w:szCs w:val="24"/>
          <w:lang w:eastAsia="es-ES"/>
        </w:rPr>
        <w:t>delegatura</w:t>
      </w:r>
      <w:proofErr w:type="spellEnd"/>
      <w:r w:rsidRPr="00186F49">
        <w:rPr>
          <w:rFonts w:ascii="Arial" w:eastAsia="Times New Roman" w:hAnsi="Arial" w:cs="Arial"/>
          <w:kern w:val="0"/>
          <w:szCs w:val="24"/>
          <w:lang w:eastAsia="es-ES"/>
        </w:rPr>
        <w:t xml:space="preserve"> exclusiva para la vigilancia de administradoras de fondos de pensiones y/o cesantía y demás entidades de previsión social de la Superintendencia Bancaria y armonizarla con el resto de su estructura.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Estas facultades incluyen la de modificar la denominación de la Superintendencia. El superintendente delegado para estas funciones, deberá reunir las mismas condiciones y requisitos que las exigidas para el superintendente bancario.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Determinar, atendiendo a criterios técnico-científicos y de salud ocupacional, las actividades de alto riesgo para la salud del trabajador, que requieran modificación en el número de semanas de cotización y el monto de la pensión. Las demás condiciones y requisitos para acceder a la pensión, se regirán por las disposiciones previstas en esta ley, sin desconocer derechos adquiridos y en todo caso serán menos exigentes. Quedando igualmente facultado para armonizar y ajustar las normas que sobre pensiones rigen para los aviadores civiles y los periodistas con tarjeta profesional.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 facultad incluye la de establecer los puntos porcentuales adicionales de cotización a cargo del empleador y el trabajador, según cada actividad.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3.  Establecer un régimen de fondos departamentales y municipales de pensiones públicas, que sustituya el pago de las pensiones a cargo de las cajas o fondos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públicos y empresas productoras de metales preciosos insolventes, en los respectivos niveles territoriales. Se podrá retener de las transferencias, de la respectiva entidad territorial, para garantizar el pago de tales pensiones, sólo mediante acuerdo con su representante legal.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Establecer la manera como las cajas, fondos o entidades del sector privado que subsistan, deben adaptarse a las disposiciones contenidas en la presente ley, señalando las funciones adicionales a la Superintendencia Bancaria, y a la de salud, a fin de que dichas entidades adapten sus estatutos y reglas de funcionamiento.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5.  Dictar las normas necesarias para la emisión de los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su redención, la posibilidad de transarlos en el mercado secundario, y las </w:t>
      </w:r>
      <w:r w:rsidRPr="00186F49">
        <w:rPr>
          <w:rFonts w:ascii="Arial" w:eastAsia="Times New Roman" w:hAnsi="Arial" w:cs="Arial"/>
          <w:kern w:val="0"/>
          <w:szCs w:val="24"/>
          <w:lang w:eastAsia="es-ES"/>
        </w:rPr>
        <w:lastRenderedPageBreak/>
        <w:t>condiciones de los bonos cuando deban expedirse a personas que se trasladen del régimen de prima media al régimen de capitalización individual.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Establecer las normas que fueren necesarias para autorizar la constitución de sociedades sin ánimo de lucro, sujetas a la reglamentación del Gobierno Nacional y bajo la vigilancia de la entidad que éste determine, cuyo objeto social sea asumir los riesgos derivados de la enfermedad profesional y del accidente de trabajo.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w:t>
      </w:r>
      <w:r w:rsidRPr="00186F49">
        <w:rPr>
          <w:rFonts w:ascii="Arial" w:eastAsia="Times New Roman" w:hAnsi="Arial" w:cs="Arial"/>
          <w:b/>
          <w:bCs/>
          <w:kern w:val="0"/>
          <w:szCs w:val="24"/>
          <w:lang w:eastAsia="es-ES"/>
        </w:rPr>
        <w:t>Numeral declarado INEXEQUIBLE por la Corte Constitucional, mediante Sentencia</w:t>
      </w:r>
      <w:r w:rsidRPr="00186F49">
        <w:rPr>
          <w:rFonts w:ascii="Arial" w:eastAsia="Times New Roman" w:hAnsi="Arial" w:cs="Arial"/>
          <w:kern w:val="0"/>
          <w:szCs w:val="24"/>
          <w:lang w:eastAsia="es-ES"/>
        </w:rPr>
        <w:t xml:space="preserve"> C-367 </w:t>
      </w:r>
      <w:r w:rsidRPr="00186F49">
        <w:rPr>
          <w:rFonts w:ascii="Arial" w:eastAsia="Times New Roman" w:hAnsi="Arial" w:cs="Arial"/>
          <w:b/>
          <w:bCs/>
          <w:kern w:val="0"/>
          <w:szCs w:val="24"/>
          <w:lang w:eastAsia="es-ES"/>
        </w:rPr>
        <w:t>de 1995</w:t>
      </w:r>
      <w:r w:rsidRPr="00186F49">
        <w:rPr>
          <w:rFonts w:ascii="Arial" w:eastAsia="Times New Roman" w:hAnsi="Arial" w:cs="Arial"/>
          <w:kern w:val="0"/>
          <w:szCs w:val="24"/>
          <w:lang w:eastAsia="es-ES"/>
        </w:rPr>
        <w:t>. Revisar las cotizaciones sobre nómina, con excepción de las del ICBF, destinadas a actividades diferentes a las consagradas en esta ley, y de la pequeña empresa, rural o urbana.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Establecer el régimen jurídico y financiero de las sociedades administradoras de fondos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9.  Establecer un fondo de actualización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para los pensionados por jubilación, invalidez, vejez y sobrevivientes, del sector público, en el sector privado y del Instituto de Seguros Sociales, cuyas pensiones se hubiesen reconocido antes del 1º de enero de 1989, de tal manera que permita atender los siguientes compromisos: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El reajuste anual contenido en el Decreto 2108 de 1992;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b)  La mesada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adicional de que trata el artículo 142 de la presente ley,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  El </w:t>
      </w:r>
      <w:proofErr w:type="spellStart"/>
      <w:r w:rsidRPr="00186F49">
        <w:rPr>
          <w:rFonts w:ascii="Arial" w:eastAsia="Times New Roman" w:hAnsi="Arial" w:cs="Arial"/>
          <w:kern w:val="0"/>
          <w:szCs w:val="24"/>
          <w:lang w:eastAsia="es-ES"/>
        </w:rPr>
        <w:t>reaforo</w:t>
      </w:r>
      <w:proofErr w:type="spellEnd"/>
      <w:r w:rsidRPr="00186F49">
        <w:rPr>
          <w:rFonts w:ascii="Arial" w:eastAsia="Times New Roman" w:hAnsi="Arial" w:cs="Arial"/>
          <w:kern w:val="0"/>
          <w:szCs w:val="24"/>
          <w:lang w:eastAsia="es-ES"/>
        </w:rPr>
        <w:t xml:space="preserve"> de rentas y la adición presupuestal de que trata el artículo 267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ejercicio de las facultades establecidas en el presente numeral, se establecerá la estructura, administración, recursos y demás disposiciones necesarias para el funcionamiento del fondo.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actualización de las pensiones en el sector público del nivel departamental y municipal, se hará en la medida en que los presupuestos respectivos así lo permitan, y previa decisión de las asambleas departamentales y concejos respectivos.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10.  Establecer los mecanismos para que la Nación consolide y asuma total o parcialmente la deuda de ésta y de los demás organismos y entidades del Estado por concepto de la inversión y manejo de reservas del Instituto de Seguros Sociales vigentes hasta la fecha de promulgación de la presente ley y fije los procedimientos para su pago.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11.  Dictar las normas necesarias para organizar la administración del sistema general de riesgos profesionales como un conjunto de entidades públicas y privadas, normas y procedimientos, destinados a prevenir, proteger y atender a los trabajadores de los efectos de las enfermedades y los accidentes, que </w:t>
      </w:r>
      <w:r w:rsidRPr="00186F49">
        <w:rPr>
          <w:rFonts w:ascii="Arial" w:eastAsia="Times New Roman" w:hAnsi="Arial" w:cs="Arial"/>
          <w:kern w:val="0"/>
          <w:szCs w:val="24"/>
          <w:lang w:eastAsia="es-ES"/>
        </w:rPr>
        <w:lastRenderedPageBreak/>
        <w:t>puedan ocurrirles con ocasión o como consecuencia del trabajo que desarrollan. En todo caso, la cotización continuará a cargo de los empleadores.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.-Para el ejercicio de las facultades a que se refiere el numeral 2º del presente artículo, el gobierno deberá escuchar el concepto no vinculante de dos (2) representantes del Congreso, dos (2) representantes de los trabajadores y dos (2) representantes de los empleadores.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6" w:name="BM140"/>
      <w:r w:rsidRPr="00186F49">
        <w:rPr>
          <w:rFonts w:ascii="Arial" w:eastAsia="Times New Roman" w:hAnsi="Arial" w:cs="Arial"/>
          <w:b/>
          <w:bCs/>
          <w:kern w:val="0"/>
          <w:szCs w:val="24"/>
          <w:lang w:eastAsia="es-ES"/>
        </w:rPr>
        <w:t> </w:t>
      </w:r>
      <w:bookmarkEnd w:id="56"/>
      <w:r w:rsidRPr="00186F49">
        <w:rPr>
          <w:rFonts w:ascii="Arial" w:eastAsia="Times New Roman" w:hAnsi="Arial" w:cs="Arial"/>
          <w:b/>
          <w:bCs/>
          <w:kern w:val="0"/>
          <w:szCs w:val="24"/>
          <w:lang w:eastAsia="es-ES"/>
        </w:rPr>
        <w:t>140.- </w:t>
      </w:r>
      <w:hyperlink r:id="rId159" w:anchor="0" w:history="1">
        <w:r w:rsidRPr="00186F49">
          <w:rPr>
            <w:rFonts w:ascii="Arial" w:eastAsia="Times New Roman" w:hAnsi="Arial" w:cs="Arial"/>
            <w:color w:val="0000FF"/>
            <w:kern w:val="0"/>
            <w:szCs w:val="24"/>
            <w:u w:val="single"/>
            <w:lang w:eastAsia="es-ES"/>
          </w:rPr>
          <w:t>Reglamentado por el Decreto Nacional 1950 de 2005</w:t>
        </w:r>
      </w:hyperlink>
      <w:r w:rsidRPr="00186F49">
        <w:rPr>
          <w:rFonts w:ascii="Arial" w:eastAsia="Times New Roman" w:hAnsi="Arial" w:cs="Arial"/>
          <w:b/>
          <w:bCs/>
          <w:kern w:val="0"/>
          <w:szCs w:val="24"/>
          <w:lang w:eastAsia="es-ES"/>
        </w:rPr>
        <w:t>. Actividades de alto riesgo de los servidores públicos</w:t>
      </w:r>
      <w:r w:rsidRPr="00186F49">
        <w:rPr>
          <w:rFonts w:ascii="Arial" w:eastAsia="Times New Roman" w:hAnsi="Arial" w:cs="Arial"/>
          <w:kern w:val="0"/>
          <w:szCs w:val="24"/>
          <w:lang w:eastAsia="es-ES"/>
        </w:rPr>
        <w:t>. De conformidad con la Ley 4ª de 1992, el Gobierno Nacional expedirá el régimen de los servidores públicos que laboren en actividades de alto riesgo, teniendo en cuenta una menor edad de jubilación o un número menor de semanas de cotización, o ambos requisitos. Se consideran para este efecto como actividades de alto riesgo para el trabajador aquellas que cumplen algunos sectores tales como el cuerpo de custodia y vigilancia nacional penitenciaria. Todo sin desconocer derechos adquiridos.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establecerá los puntos porcentuales adicionales de cotización a cargo del empleador, o del empleador y el trabajador, según cada actividad.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141. -Intereses de mora</w:t>
      </w:r>
      <w:r w:rsidRPr="00186F49">
        <w:rPr>
          <w:rFonts w:ascii="Arial" w:eastAsia="Times New Roman" w:hAnsi="Arial" w:cs="Arial"/>
          <w:kern w:val="0"/>
          <w:szCs w:val="24"/>
          <w:lang w:eastAsia="es-ES"/>
        </w:rPr>
        <w:t>. A partir del 1º de enero de 1994, en caso de mora en el pago de las mesadas pensiónales de que trata esta ley, la entidad correspondiente reconocerá y pagará al pensionado, además de la obligación a su cargo y sobre el importe de ella, la tasa máxima de interés moratorio vigente en el momento en que se efectúe el pago.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142. -Mesada adicional para </w:t>
      </w:r>
      <w:r w:rsidRPr="00186F49">
        <w:rPr>
          <w:rFonts w:ascii="Arial" w:eastAsia="Times New Roman" w:hAnsi="Arial" w:cs="Arial"/>
          <w:b/>
          <w:bCs/>
          <w:kern w:val="0"/>
          <w:szCs w:val="24"/>
          <w:u w:val="single"/>
          <w:lang w:eastAsia="es-ES"/>
        </w:rPr>
        <w:t xml:space="preserve">actuales </w:t>
      </w:r>
      <w:r w:rsidRPr="00186F49">
        <w:rPr>
          <w:rFonts w:ascii="Arial" w:eastAsia="Times New Roman" w:hAnsi="Arial" w:cs="Arial"/>
          <w:b/>
          <w:bCs/>
          <w:kern w:val="0"/>
          <w:szCs w:val="24"/>
          <w:lang w:eastAsia="es-ES"/>
        </w:rPr>
        <w:t>pensionados</w:t>
      </w:r>
      <w:r w:rsidRPr="00186F49">
        <w:rPr>
          <w:rFonts w:ascii="Arial" w:eastAsia="Times New Roman" w:hAnsi="Arial" w:cs="Arial"/>
          <w:kern w:val="0"/>
          <w:szCs w:val="24"/>
          <w:lang w:eastAsia="es-ES"/>
        </w:rPr>
        <w:t>. Los pensionados por jubilación, invalidez, vejez y sobrevivientes, del sector público, oficial, semioficial, en todos sus órdenes, en el sector privado y del Instituto de Seguros Sociales, así como los retirados y pensionados de las Fuerzas Militares y de la Policía Nacional</w:t>
      </w:r>
      <w:r w:rsidRPr="00186F49">
        <w:rPr>
          <w:rFonts w:ascii="Arial" w:eastAsia="Times New Roman" w:hAnsi="Arial" w:cs="Arial"/>
          <w:kern w:val="0"/>
          <w:szCs w:val="24"/>
          <w:u w:val="single"/>
          <w:lang w:eastAsia="es-ES"/>
        </w:rPr>
        <w:t xml:space="preserve">, cuyas pensiones se hubiesen causado y reconocido antes del primero (1º ) de enero de 1988, </w:t>
      </w:r>
      <w:r w:rsidRPr="00186F49">
        <w:rPr>
          <w:rFonts w:ascii="Arial" w:eastAsia="Times New Roman" w:hAnsi="Arial" w:cs="Arial"/>
          <w:kern w:val="0"/>
          <w:szCs w:val="24"/>
          <w:lang w:eastAsia="es-ES"/>
        </w:rPr>
        <w:t>tendrán derecho al reconocimiento y pago de treinta (30) días de la pensión que le corresponda a cada uno de ellos por el régimen respectivo, que se cancelará con la mesada del mes de junio de cada año, a partir de 1994.</w:t>
      </w:r>
    </w:p>
    <w:p w:rsidR="00186F49" w:rsidRPr="00186F49" w:rsidRDefault="00186F49" w:rsidP="00186F49">
      <w:pPr>
        <w:spacing w:before="100" w:beforeAutospacing="1" w:after="100" w:afterAutospacing="1"/>
        <w:jc w:val="left"/>
        <w:rPr>
          <w:rFonts w:ascii="Arial" w:eastAsia="Times New Roman" w:hAnsi="Arial" w:cs="Arial"/>
          <w:kern w:val="0"/>
          <w:szCs w:val="24"/>
          <w:u w:val="single"/>
          <w:lang w:eastAsia="es-ES"/>
        </w:rPr>
      </w:pPr>
      <w:r w:rsidRPr="00186F49">
        <w:rPr>
          <w:rFonts w:ascii="Arial" w:eastAsia="Times New Roman" w:hAnsi="Arial" w:cs="Arial"/>
          <w:kern w:val="0"/>
          <w:szCs w:val="24"/>
          <w:u w:val="single"/>
          <w:lang w:eastAsia="es-ES"/>
        </w:rPr>
        <w:t>Los pensionados por vejez del orden nacional, beneficiarios de los reajustes ordenados en el Decreto 2108 de 1992, recibirán el reconocimiento y pago de los treinta días de la mesada adicional sólo a partir de junio de 1996.</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El texto Subrayado fue declarado inexequible por la Corte Constitucional en </w:t>
      </w:r>
      <w:hyperlink r:id="rId160" w:anchor="1" w:history="1">
        <w:r w:rsidRPr="00186F49">
          <w:rPr>
            <w:rFonts w:ascii="Arial" w:eastAsia="Times New Roman" w:hAnsi="Arial" w:cs="Arial"/>
            <w:color w:val="0000FF"/>
            <w:kern w:val="0"/>
            <w:szCs w:val="24"/>
            <w:u w:val="single"/>
            <w:lang w:eastAsia="es-ES"/>
          </w:rPr>
          <w:t>Sentencia C-409 de 1994</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Esta mesada adicional será pagada por quien tenga a su cargo la cancelación de la pensión </w:t>
      </w:r>
      <w:r w:rsidRPr="00186F49">
        <w:rPr>
          <w:rFonts w:ascii="Arial" w:eastAsia="Times New Roman" w:hAnsi="Arial" w:cs="Arial"/>
          <w:b/>
          <w:bCs/>
          <w:kern w:val="0"/>
          <w:szCs w:val="24"/>
          <w:lang w:eastAsia="es-ES"/>
        </w:rPr>
        <w:t>sin que exceda de quince (15) veces el salario mínimo legal mensual</w:t>
      </w:r>
      <w:r w:rsidRPr="00186F49">
        <w:rPr>
          <w:rFonts w:ascii="Arial" w:eastAsia="Times New Roman" w:hAnsi="Arial" w:cs="Arial"/>
          <w:kern w:val="0"/>
          <w:szCs w:val="24"/>
          <w:lang w:eastAsia="es-ES"/>
        </w:rPr>
        <w:t>.</w:t>
      </w:r>
      <w:r w:rsidRPr="00186F49">
        <w:rPr>
          <w:rFonts w:ascii="Arial" w:eastAsia="Times New Roman" w:hAnsi="Arial" w:cs="Arial"/>
          <w:b/>
          <w:bCs/>
          <w:kern w:val="0"/>
          <w:szCs w:val="24"/>
          <w:lang w:eastAsia="es-ES"/>
        </w:rPr>
        <w:t xml:space="preserve"> </w:t>
      </w:r>
      <w:hyperlink r:id="rId161" w:anchor="1" w:history="1">
        <w:r w:rsidRPr="00186F49">
          <w:rPr>
            <w:rFonts w:ascii="Arial" w:eastAsia="Times New Roman" w:hAnsi="Arial" w:cs="Arial"/>
            <w:color w:val="0000FF"/>
            <w:kern w:val="0"/>
            <w:szCs w:val="24"/>
            <w:u w:val="single"/>
            <w:lang w:eastAsia="es-ES"/>
          </w:rPr>
          <w:t>Texto resaltado, declarado Exequible Sentencia Corte Constitucional 529 de 1996</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 xml:space="preserve">ARTICULO. 143.-Reajuste </w:t>
      </w:r>
      <w:proofErr w:type="spellStart"/>
      <w:r w:rsidRPr="00186F49">
        <w:rPr>
          <w:rFonts w:ascii="Arial" w:eastAsia="Times New Roman" w:hAnsi="Arial" w:cs="Arial"/>
          <w:b/>
          <w:bCs/>
          <w:kern w:val="0"/>
          <w:szCs w:val="24"/>
          <w:lang w:eastAsia="es-ES"/>
        </w:rPr>
        <w:t>pensional</w:t>
      </w:r>
      <w:proofErr w:type="spellEnd"/>
      <w:r w:rsidRPr="00186F49">
        <w:rPr>
          <w:rFonts w:ascii="Arial" w:eastAsia="Times New Roman" w:hAnsi="Arial" w:cs="Arial"/>
          <w:b/>
          <w:bCs/>
          <w:kern w:val="0"/>
          <w:szCs w:val="24"/>
          <w:lang w:eastAsia="es-ES"/>
        </w:rPr>
        <w:t xml:space="preserve"> para los actuales pensionados</w:t>
      </w:r>
      <w:r w:rsidRPr="00186F49">
        <w:rPr>
          <w:rFonts w:ascii="Arial" w:eastAsia="Times New Roman" w:hAnsi="Arial" w:cs="Arial"/>
          <w:kern w:val="0"/>
          <w:szCs w:val="24"/>
          <w:lang w:eastAsia="es-ES"/>
        </w:rPr>
        <w:t>. A quienes con anterioridad al 1º de enero de 1994 se les hubiere reconocido la pensión de vejez o jubilación, invalidez o muerte, tendrán derecho, a partir de dicha fecha, a un reajuste mensual equivalente a la elevación en la cotización para salud que resulte de la aplicación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cotización para salud establecida en el sistema general de salud para los pensionados está, en su totalidad, a cargo de éstos, quienes podrán cancelarla mediante una cotización complementaria durante su período de vinculación laboral.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Consejo Nacional de Seguridad Social en salud podrá reducir el monto de la cotización de los pensionados en proporción al menor número de beneficiarios y para pensiones cuyo monto no exceda de tres (3) salarios mínimos legales.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TRANSITORIO</w:t>
      </w:r>
      <w:r w:rsidRPr="00186F49">
        <w:rPr>
          <w:rFonts w:ascii="Arial" w:eastAsia="Times New Roman" w:hAnsi="Arial" w:cs="Arial"/>
          <w:kern w:val="0"/>
          <w:szCs w:val="24"/>
          <w:lang w:eastAsia="es-ES"/>
        </w:rPr>
        <w:t xml:space="preserve">.-Sólo por el año de 1993, los gastos de salud de los actuales pensionados del ISS se </w:t>
      </w:r>
      <w:proofErr w:type="gramStart"/>
      <w:r w:rsidRPr="00186F49">
        <w:rPr>
          <w:rFonts w:ascii="Arial" w:eastAsia="Times New Roman" w:hAnsi="Arial" w:cs="Arial"/>
          <w:kern w:val="0"/>
          <w:szCs w:val="24"/>
          <w:lang w:eastAsia="es-ES"/>
        </w:rPr>
        <w:t>atenderá</w:t>
      </w:r>
      <w:proofErr w:type="gramEnd"/>
      <w:r w:rsidRPr="00186F49">
        <w:rPr>
          <w:rFonts w:ascii="Arial" w:eastAsia="Times New Roman" w:hAnsi="Arial" w:cs="Arial"/>
          <w:kern w:val="0"/>
          <w:szCs w:val="24"/>
          <w:lang w:eastAsia="es-ES"/>
        </w:rPr>
        <w:t xml:space="preserve"> con cargo al seguro de IVM y hasta el monto de la cuota patronal.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144.-Pensiones por muerte reconocidas antes de 1990.</w:t>
      </w:r>
      <w:r w:rsidRPr="00186F49">
        <w:rPr>
          <w:rFonts w:ascii="Arial" w:eastAsia="Times New Roman" w:hAnsi="Arial" w:cs="Arial"/>
          <w:kern w:val="0"/>
          <w:szCs w:val="24"/>
          <w:lang w:eastAsia="es-ES"/>
        </w:rPr>
        <w:t xml:space="preserve"> Las pensiones de sobrevivientes reconocidas por el Instituto de Seguros Sociales a los ascendientes, como únicos beneficiarios de asegurados fallecidos hasta el 17 de abril de 1990 continuarán vigentes en los mismos términos en que fueron reconocidas.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145.-Recursos para el pago de pensiones en las entidades territoriales.</w:t>
      </w:r>
      <w:r w:rsidRPr="00186F49">
        <w:rPr>
          <w:rFonts w:ascii="Arial" w:eastAsia="Times New Roman" w:hAnsi="Arial" w:cs="Arial"/>
          <w:kern w:val="0"/>
          <w:szCs w:val="24"/>
          <w:lang w:eastAsia="es-ES"/>
        </w:rPr>
        <w:t xml:space="preserve"> De los recursos adicionales que, a partir de 1997, reciban los departamentos y los municipios como transferencias por los recursos provenientes del impuesto de renta y la contribución sobre la producción de las empresas de la industria petrolera en la zona </w:t>
      </w:r>
      <w:proofErr w:type="spellStart"/>
      <w:r w:rsidRPr="00186F49">
        <w:rPr>
          <w:rFonts w:ascii="Arial" w:eastAsia="Times New Roman" w:hAnsi="Arial" w:cs="Arial"/>
          <w:kern w:val="0"/>
          <w:szCs w:val="24"/>
          <w:lang w:eastAsia="es-ES"/>
        </w:rPr>
        <w:t>Cusiana-Cupiagua</w:t>
      </w:r>
      <w:proofErr w:type="spellEnd"/>
      <w:r w:rsidRPr="00186F49">
        <w:rPr>
          <w:rFonts w:ascii="Arial" w:eastAsia="Times New Roman" w:hAnsi="Arial" w:cs="Arial"/>
          <w:kern w:val="0"/>
          <w:szCs w:val="24"/>
          <w:lang w:eastAsia="es-ES"/>
        </w:rPr>
        <w:t xml:space="preserve">, destinarán por lo menos un 5% a un fondo para pago de pensiones, sin perjuicio que dichas entidades territoriales continúen cumpliendo sus obligaciones contraídas en materia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saldos que mantenga este fondo se invertirán exclusivamente en papeles de deuda pública emitidos por la Nación o el Banco de la República.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7" w:name="BM146"/>
      <w:r w:rsidRPr="00186F49">
        <w:rPr>
          <w:rFonts w:ascii="Arial" w:eastAsia="Times New Roman" w:hAnsi="Arial" w:cs="Arial"/>
          <w:b/>
          <w:bCs/>
          <w:kern w:val="0"/>
          <w:szCs w:val="24"/>
          <w:lang w:eastAsia="es-ES"/>
        </w:rPr>
        <w:t> </w:t>
      </w:r>
      <w:bookmarkEnd w:id="57"/>
      <w:r w:rsidRPr="00186F49">
        <w:rPr>
          <w:rFonts w:ascii="Arial" w:eastAsia="Times New Roman" w:hAnsi="Arial" w:cs="Arial"/>
          <w:b/>
          <w:bCs/>
          <w:kern w:val="0"/>
          <w:szCs w:val="24"/>
          <w:lang w:eastAsia="es-ES"/>
        </w:rPr>
        <w:t>146.-Situaciones jurídicas individuales definidas por disposiciones municipales o departamentales</w:t>
      </w:r>
      <w:r w:rsidRPr="00186F49">
        <w:rPr>
          <w:rFonts w:ascii="Arial" w:eastAsia="Times New Roman" w:hAnsi="Arial" w:cs="Arial"/>
          <w:kern w:val="0"/>
          <w:szCs w:val="24"/>
          <w:lang w:eastAsia="es-ES"/>
        </w:rPr>
        <w:t>. Las situaciones jurídicas de carácter individual definidas con anterioridad a la presente ley, con base en disposiciones municipales o departamentales en materia de pensiones de jubilación extralegales en favor de empleados o servidores públicos o personas vinculadas laboralmente a las entidades territoriales o a sus organismos descentralizados, continuarán vigentes.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También tendrán derecho a pensionarse con arreglo a tales disposiciones, quienes con anterioridad a la vigencia de este artículo, hayan cumplido </w:t>
      </w:r>
      <w:r w:rsidRPr="00186F49">
        <w:rPr>
          <w:rFonts w:ascii="Arial" w:eastAsia="Times New Roman" w:hAnsi="Arial" w:cs="Arial"/>
          <w:b/>
          <w:bCs/>
          <w:kern w:val="0"/>
          <w:szCs w:val="24"/>
          <w:lang w:eastAsia="es-ES"/>
        </w:rPr>
        <w:t xml:space="preserve">o cumplan dentro de los dos años siguientes </w:t>
      </w:r>
      <w:r w:rsidRPr="00186F49">
        <w:rPr>
          <w:rFonts w:ascii="Arial" w:eastAsia="Times New Roman" w:hAnsi="Arial" w:cs="Arial"/>
          <w:kern w:val="0"/>
          <w:szCs w:val="24"/>
          <w:lang w:eastAsia="es-ES"/>
        </w:rPr>
        <w:t>los requisitos exigidos en dichas normas.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Lo dispuesto en la presente ley no afecta ni modifica la situación de las personas a que se refiere este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disposiciones de este artículo regirán desde la fecha de la sanción de la presente ley.</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(El texto en negrilla fue declarado inexequible por la Corte Constitucional en Sentencia C-410 de agosto 28 de 1997, ver Sentencia Corte Constitucional 590 de 1997)</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147. -Garantía de pensión mínima para desmovilizados</w:t>
      </w:r>
      <w:r w:rsidRPr="00186F49">
        <w:rPr>
          <w:rFonts w:ascii="Arial" w:eastAsia="Times New Roman" w:hAnsi="Arial" w:cs="Arial"/>
          <w:kern w:val="0"/>
          <w:szCs w:val="24"/>
          <w:lang w:eastAsia="es-ES"/>
        </w:rPr>
        <w:t>. Los colombianos que acogiéndose a procesos de paz se hayan desmovilizado o lo hagan en el futuro, podrán pensionarse en las edades establecidas en la presente ley con garantía de pensión mínima en el régimen de prima media con prestación definida, siempre que hayan cotizado por lo menos 500 semanas.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148. -Deportistas destacados de escasos recursos</w:t>
      </w:r>
      <w:r w:rsidRPr="00186F49">
        <w:rPr>
          <w:rFonts w:ascii="Arial" w:eastAsia="Times New Roman" w:hAnsi="Arial" w:cs="Arial"/>
          <w:kern w:val="0"/>
          <w:szCs w:val="24"/>
          <w:lang w:eastAsia="es-ES"/>
        </w:rPr>
        <w:t>. El Gobierno Nacional mediante reglamentación previa podrá garantizar las pensiones de los deportistas de escasos recursos, que obtengan medallas en los juegos olímpicos de verano del Comité Olímpico Internacional y en los campeonatos mundiales. El monto de la pensión no podrá exceder de tres salarios mínimos mensuales y adicionalmente deberán cumplir con los requisitos para adquirir el mencionado derecho de acuerdo con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149.-Beneficiarios del fondo de pensiones de las empresas productoras de metales preciosos y </w:t>
      </w:r>
      <w:proofErr w:type="spellStart"/>
      <w:r w:rsidRPr="00186F49">
        <w:rPr>
          <w:rFonts w:ascii="Arial" w:eastAsia="Times New Roman" w:hAnsi="Arial" w:cs="Arial"/>
          <w:b/>
          <w:bCs/>
          <w:kern w:val="0"/>
          <w:szCs w:val="24"/>
          <w:lang w:eastAsia="es-ES"/>
        </w:rPr>
        <w:t>Empos</w:t>
      </w:r>
      <w:proofErr w:type="spellEnd"/>
      <w:r w:rsidRPr="00186F49">
        <w:rPr>
          <w:rFonts w:ascii="Arial" w:eastAsia="Times New Roman" w:hAnsi="Arial" w:cs="Arial"/>
          <w:kern w:val="0"/>
          <w:szCs w:val="24"/>
          <w:lang w:eastAsia="es-ES"/>
        </w:rPr>
        <w:t>. Las pensiones de los beneficiarios del fondo de pensionados de las empresas productoras de metales preciosos creado mediante la Ley 50 de 1990, y las de las empresas de obras sanitarias liquidadas serán pagadas en adelante por el Instituto de Seguros Sociales, el cual también asumirá la prestación del servicio médico asistencial siempre y cuando el pensionado cotice para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apropiará anualmente en el presupuesto las partidas necesarias para el cumplimiento de lo dispuesto en el presente artículo, y hará las correspondientes transferencias al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8" w:name="BM150"/>
      <w:r w:rsidRPr="00186F49">
        <w:rPr>
          <w:rFonts w:ascii="Arial" w:eastAsia="Times New Roman" w:hAnsi="Arial" w:cs="Arial"/>
          <w:b/>
          <w:bCs/>
          <w:kern w:val="0"/>
          <w:szCs w:val="24"/>
          <w:lang w:eastAsia="es-ES"/>
        </w:rPr>
        <w:t> </w:t>
      </w:r>
      <w:bookmarkEnd w:id="58"/>
      <w:r w:rsidRPr="00186F49">
        <w:rPr>
          <w:rFonts w:ascii="Arial" w:eastAsia="Times New Roman" w:hAnsi="Arial" w:cs="Arial"/>
          <w:b/>
          <w:bCs/>
          <w:kern w:val="0"/>
          <w:szCs w:val="24"/>
          <w:lang w:eastAsia="es-ES"/>
        </w:rPr>
        <w:t>150.-Reliquidación del monto de la pensión para funcionarios y empleados públicos.</w:t>
      </w:r>
      <w:r w:rsidRPr="00186F49">
        <w:rPr>
          <w:rFonts w:ascii="Arial" w:eastAsia="Times New Roman" w:hAnsi="Arial" w:cs="Arial"/>
          <w:kern w:val="0"/>
          <w:szCs w:val="24"/>
          <w:lang w:eastAsia="es-ES"/>
        </w:rPr>
        <w:t xml:space="preserve"> Los funcionarios y empleados públicos que hubiesen sido notificados de la resolución de jubilación y que no se hayan retirado del cargo, tendrán derecho a que se les </w:t>
      </w:r>
      <w:proofErr w:type="spellStart"/>
      <w:r w:rsidRPr="00186F49">
        <w:rPr>
          <w:rFonts w:ascii="Arial" w:eastAsia="Times New Roman" w:hAnsi="Arial" w:cs="Arial"/>
          <w:kern w:val="0"/>
          <w:szCs w:val="24"/>
          <w:lang w:eastAsia="es-ES"/>
        </w:rPr>
        <w:t>reliquide</w:t>
      </w:r>
      <w:proofErr w:type="spellEnd"/>
      <w:r w:rsidRPr="00186F49">
        <w:rPr>
          <w:rFonts w:ascii="Arial" w:eastAsia="Times New Roman" w:hAnsi="Arial" w:cs="Arial"/>
          <w:kern w:val="0"/>
          <w:szCs w:val="24"/>
          <w:lang w:eastAsia="es-ES"/>
        </w:rPr>
        <w:t xml:space="preserve"> el ingreso base para calcular la pensión, incluyendo los sueldos devengados con posterioridad a la fecha de notificación de la resolución.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No podrá obligarse a ningún funcionario o empleado público a retirarse del cargo por el solo hecho de haberse expedido a su favor la resolución de jubilación, si no ha llegado a la edad de retiro forzoso.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w:t>
      </w:r>
      <w:hyperlink r:id="rId162" w:anchor="0" w:history="1">
        <w:r w:rsidRPr="00186F49">
          <w:rPr>
            <w:rFonts w:ascii="Arial" w:eastAsia="Times New Roman" w:hAnsi="Arial" w:cs="Arial"/>
            <w:color w:val="0000FF"/>
            <w:kern w:val="0"/>
            <w:szCs w:val="24"/>
            <w:u w:val="single"/>
            <w:lang w:eastAsia="es-ES"/>
          </w:rPr>
          <w:t>Ver el Concepto del Consejo de Estado 786 de 1996</w:t>
        </w:r>
      </w:hyperlink>
      <w:r w:rsidRPr="00186F49">
        <w:rPr>
          <w:rFonts w:ascii="Arial" w:eastAsia="Times New Roman" w:hAnsi="Arial" w:cs="Arial"/>
          <w:kern w:val="0"/>
          <w:szCs w:val="24"/>
          <w:lang w:eastAsia="es-ES"/>
        </w:rPr>
        <w:t xml:space="preserve">, </w:t>
      </w:r>
      <w:hyperlink r:id="rId163" w:anchor="0" w:history="1">
        <w:r w:rsidRPr="00186F49">
          <w:rPr>
            <w:rFonts w:ascii="Arial" w:eastAsia="Times New Roman" w:hAnsi="Arial" w:cs="Arial"/>
            <w:color w:val="0000FF"/>
            <w:kern w:val="0"/>
            <w:szCs w:val="24"/>
            <w:u w:val="single"/>
            <w:lang w:eastAsia="es-ES"/>
          </w:rPr>
          <w:t>Ver la Sentencia de la Corte Constitucional C-563 de 1997</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151.-Vigencia del sistema general de pensiones</w:t>
      </w:r>
      <w:r w:rsidRPr="00186F49">
        <w:rPr>
          <w:rFonts w:ascii="Arial" w:eastAsia="Times New Roman" w:hAnsi="Arial" w:cs="Arial"/>
          <w:kern w:val="0"/>
          <w:szCs w:val="24"/>
          <w:lang w:eastAsia="es-ES"/>
        </w:rPr>
        <w:t>. El sistema general de pensiones previsto en la presente ley, regirá a partir del 1º de abril de 1994. No obstante, el gobierno podrá autorizar el funcionamiento de las administradoras de los fondos de pensiones y de cesantía con sujeción a las disposiciones contempladas en la presente ley, a partir de la vigencia de la misma.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sistema general de pensiones para los servidores públicos del nivel departamental, municipal y distrital, entrará a regir a más tardar el 30 de junio de 1995, en la fecha que así lo determine la respectiva autoridad gubernamental.</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LIBRO SEGUNDO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El sistema general de seguridad social en salud</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generales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Objeto, fundamentos y características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64" w:anchor="1" w:history="1">
        <w:r w:rsidRPr="00186F49">
          <w:rPr>
            <w:rFonts w:ascii="Arial" w:eastAsia="Times New Roman" w:hAnsi="Arial" w:cs="Arial"/>
            <w:color w:val="0000FF"/>
            <w:kern w:val="0"/>
            <w:szCs w:val="24"/>
            <w:u w:val="single"/>
            <w:lang w:eastAsia="es-ES"/>
          </w:rPr>
          <w:t>Ver Sentencia de la Corte Constitucional 130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59" w:name="BM152"/>
      <w:r w:rsidRPr="00186F49">
        <w:rPr>
          <w:rFonts w:ascii="Arial" w:eastAsia="Times New Roman" w:hAnsi="Arial" w:cs="Arial"/>
          <w:b/>
          <w:bCs/>
          <w:kern w:val="0"/>
          <w:szCs w:val="24"/>
          <w:lang w:eastAsia="es-ES"/>
        </w:rPr>
        <w:t> </w:t>
      </w:r>
      <w:bookmarkEnd w:id="59"/>
      <w:r w:rsidRPr="00186F49">
        <w:rPr>
          <w:rFonts w:ascii="Arial" w:eastAsia="Times New Roman" w:hAnsi="Arial" w:cs="Arial"/>
          <w:b/>
          <w:bCs/>
          <w:kern w:val="0"/>
          <w:szCs w:val="24"/>
          <w:lang w:eastAsia="es-ES"/>
        </w:rPr>
        <w:t>152.-Objeto</w:t>
      </w:r>
      <w:r w:rsidRPr="00186F49">
        <w:rPr>
          <w:rFonts w:ascii="Arial" w:eastAsia="Times New Roman" w:hAnsi="Arial" w:cs="Arial"/>
          <w:kern w:val="0"/>
          <w:szCs w:val="24"/>
          <w:lang w:eastAsia="es-ES"/>
        </w:rPr>
        <w:t>.  </w:t>
      </w:r>
      <w:hyperlink r:id="rId165" w:anchor="0" w:history="1">
        <w:r w:rsidRPr="00186F49">
          <w:rPr>
            <w:rFonts w:ascii="Arial" w:eastAsia="Times New Roman" w:hAnsi="Arial" w:cs="Arial"/>
            <w:color w:val="0000FF"/>
            <w:kern w:val="0"/>
            <w:szCs w:val="24"/>
            <w:u w:val="single"/>
            <w:lang w:eastAsia="es-ES"/>
          </w:rPr>
          <w:t>Reglamentado Parcialmente por el Decreto Nacional 374 de 1994</w:t>
        </w:r>
      </w:hyperlink>
      <w:r w:rsidRPr="00186F49">
        <w:rPr>
          <w:rFonts w:ascii="Arial" w:eastAsia="Times New Roman" w:hAnsi="Arial" w:cs="Arial"/>
          <w:kern w:val="0"/>
          <w:szCs w:val="24"/>
          <w:lang w:eastAsia="es-ES"/>
        </w:rPr>
        <w:t>. La presente ley establece el sistema general de seguridad social en salud, desarrolla los fundamentos que lo rigen, determina su dirección, organización y funcionamiento, sus normas administrativas, financieras y de control y las obligaciones que se derivan de su aplicación.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objetivos del sistema general de seguridad social en salud son regular el servicio público esencial de salud y crear condiciones de acceso de toda la población al servicio en todos los niveles de atención.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competencias para prestación pública de los servicios de salud y la organización de la atención en salud en los aspectos no cobijados en la presente ley se regirán por las disposiciones legales vigentes, en especial por la Ley 10 de 1990 y la Ley 60 de 1993. Las actividades y competencias de salud pública se regirán por las disposiciones vigentes en la materia, especialmente la Ley 9ª de 1979 y la Ley 60 de 1993, excepto la regulación de medicamentos que se regirá por lo dispuesto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153.-Fundamentos del servicio público.</w:t>
      </w:r>
      <w:r w:rsidRPr="00186F49">
        <w:rPr>
          <w:rFonts w:ascii="Arial" w:eastAsia="Times New Roman" w:hAnsi="Arial" w:cs="Arial"/>
          <w:kern w:val="0"/>
          <w:szCs w:val="24"/>
          <w:lang w:eastAsia="es-ES"/>
        </w:rPr>
        <w:t xml:space="preserve"> Además de los principios generales consagrados en la Constitución política, son reglas del servicio público de salud, rectoras del sistema general de seguridad social en salud las siguientes: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1.  Equidad. El sistema general de seguridad social en salud proveerá gradualmente servicios de salud de igual calidad a todos los habitantes en Colombia, independientemente de su capacidad de pago. Para evitar la discriminación por capacidad de pago o riesgo, el sistema ofrecerá financiamiento especial para aquella población más pobre y vulnerable, así como mecanismos para evitar la selección adversa.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Obligatoriedad. La afiliación al sistema general de seguridad social en salud es obligatoria para todos los habitantes en Colombia. En consecuencia, corresponde a todo empleador la afiliación de sus trabajadores a este sistema y del Estado facilitar la afiliación a quienes carezcan de vínculo con algún empleador o capacidad de pago.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Protección integral. El sistema general de seguridad social en salud brindará atención en salud integral a la población en sus fases de educación, información y fomento de la salud y la prevención, diagnóstico, tratamiento y rehabilitación, en cantidad, oportunidad, calidad y eficiencia de conformidad con lo previsto en el artículo 162 respecto del plan obligatorio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Libre escogencia. El sistema general de seguridad social en salud permitirá la participación de diferentes entidades que ofrezcan la administración y la prestación de los servicios de salud, bajo las regulaciones y vigilancia del Estado y asegurará a los usuarios libertad en la escogencia entre las entidades promotoras de salud y las instituciones prestadores de servicios de salud, cuando ello sea posible según las condiciones de oferta de servicios. Quienes atenten contra este mandato se harán acogedores a las sanciones previstas en el artículo 230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Autonomía de las instituciones.  Las instituciones prestadoras de servicios de salud tendrán, a partir del tamaño y complejidad que reglamente el gobierno, personería jurídica, autonomía administrativa y patrimonio independiente, salvo los casos previstos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Descentralización administrativa. La organización del sistema general de seguridad social en salud será descentralizada y de ella harán parte las direcciones seccionales, distritales y locales de salud. Las instituciones públicas del orden nacional que participen del sistema adoptarán una estructura organizacional, de gestión y de decisiones técnicas, administrativas y financieras que fortalezca su operación descentralizada.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7.  Participación social. El sistema general de seguridad social en salud estimulará la participación de los usuarios en la organización y control de las instituciones del sistema general de seguridad social en salud y del sistema en su conjunto. El Gobierno Nacional establecerá los mecanismos de vigilancia de las comunidades sobre las entidades que conforman el sistema. Será obligatoria la participación de los representantes de las comunidades de usuarios en las juntas directivas de </w:t>
      </w:r>
      <w:proofErr w:type="gramStart"/>
      <w:r w:rsidRPr="00186F49">
        <w:rPr>
          <w:rFonts w:ascii="Arial" w:eastAsia="Times New Roman" w:hAnsi="Arial" w:cs="Arial"/>
          <w:kern w:val="0"/>
          <w:szCs w:val="24"/>
          <w:lang w:eastAsia="es-ES"/>
        </w:rPr>
        <w:t>la entidades</w:t>
      </w:r>
      <w:proofErr w:type="gramEnd"/>
      <w:r w:rsidRPr="00186F49">
        <w:rPr>
          <w:rFonts w:ascii="Arial" w:eastAsia="Times New Roman" w:hAnsi="Arial" w:cs="Arial"/>
          <w:kern w:val="0"/>
          <w:szCs w:val="24"/>
          <w:lang w:eastAsia="es-ES"/>
        </w:rPr>
        <w:t xml:space="preserve"> de carácter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8.  Concertación. El sistema propiciará la concertación de los diversos agentes en todos los niveles y empleará como mecanismo formal para ello a los </w:t>
      </w:r>
      <w:r w:rsidRPr="00186F49">
        <w:rPr>
          <w:rFonts w:ascii="Arial" w:eastAsia="Times New Roman" w:hAnsi="Arial" w:cs="Arial"/>
          <w:kern w:val="0"/>
          <w:szCs w:val="24"/>
          <w:lang w:eastAsia="es-ES"/>
        </w:rPr>
        <w:lastRenderedPageBreak/>
        <w:t>consejos nacional, departamentales, distritales y municipales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9.  Calidad. El sistema establecerá mecanismos de control a los servicios para garantizar a los usuarios calidad en la atención oportuna, personalizada, humanizada, integral, continua y de acuerdo con estándares aceptados en procedimientos y práctica profesional. De acuerdo con la reglamentación que expida el gobierno, las instituciones prestadoras deberán estar acreditadas ante las entidades de vigilancia.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60" w:name="BM154"/>
      <w:r w:rsidRPr="00186F49">
        <w:rPr>
          <w:rFonts w:ascii="Arial" w:eastAsia="Times New Roman" w:hAnsi="Arial" w:cs="Arial"/>
          <w:b/>
          <w:bCs/>
          <w:kern w:val="0"/>
          <w:szCs w:val="24"/>
          <w:lang w:eastAsia="es-ES"/>
        </w:rPr>
        <w:t> </w:t>
      </w:r>
      <w:bookmarkEnd w:id="60"/>
      <w:r w:rsidRPr="00186F49">
        <w:rPr>
          <w:rFonts w:ascii="Arial" w:eastAsia="Times New Roman" w:hAnsi="Arial" w:cs="Arial"/>
          <w:b/>
          <w:bCs/>
          <w:kern w:val="0"/>
          <w:szCs w:val="24"/>
          <w:lang w:eastAsia="es-ES"/>
        </w:rPr>
        <w:t>154.-Intervención del Estado</w:t>
      </w:r>
      <w:r w:rsidRPr="00186F49">
        <w:rPr>
          <w:rFonts w:ascii="Arial" w:eastAsia="Times New Roman" w:hAnsi="Arial" w:cs="Arial"/>
          <w:kern w:val="0"/>
          <w:szCs w:val="24"/>
          <w:lang w:eastAsia="es-ES"/>
        </w:rPr>
        <w:t>. El Estado intervendrá en el servicio público de seguridad social en salud, conforme a las reglas de competencia de que trata esta ley, en el marco de lo dispuesto en los artículos 48, 49, 334 y 365 a 370 de la Constitución Política. Dicha intervención buscará principalmente el logro de los siguientes fines: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Garantizar la observancia de los principios consagrados en la Constitución y en </w:t>
      </w:r>
      <w:proofErr w:type="gramStart"/>
      <w:r w:rsidRPr="00186F49">
        <w:rPr>
          <w:rFonts w:ascii="Arial" w:eastAsia="Times New Roman" w:hAnsi="Arial" w:cs="Arial"/>
          <w:kern w:val="0"/>
          <w:szCs w:val="24"/>
          <w:lang w:eastAsia="es-ES"/>
        </w:rPr>
        <w:t>los artículos</w:t>
      </w:r>
      <w:proofErr w:type="gramEnd"/>
      <w:r w:rsidRPr="00186F49">
        <w:rPr>
          <w:rFonts w:ascii="Arial" w:eastAsia="Times New Roman" w:hAnsi="Arial" w:cs="Arial"/>
          <w:kern w:val="0"/>
          <w:szCs w:val="24"/>
          <w:lang w:eastAsia="es-ES"/>
        </w:rPr>
        <w:t xml:space="preserve"> 2º y 153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Asegurar el carácter obligatorio de la seguridad social en salud y su naturaleza de derecho social para todos los habitantes de Colombia;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Desarrollar las responsabilidades de dirección, coordinación, vigilancia y control de la seguridad social en salud y de la reglamentación de la prestación de los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Lograr la ampliación progresiva de la cobertura de la seguridad social en salud permitiendo progresivamente el acceso a los servicios de educación, información y fomento de la salud y a los de protección y recuperación de la salud a los habitantes del país;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Establecer la atención básica en salud que se ofrecerá en forma gratuita y obligatoria, en los términos que señale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f)  Organizar los servicios de salud en forma descentralizada, por niveles de atención y con participación de la comunidad;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g)  Evitar que los recursos destinados a la seguridad social en salud se destinen a fines diferentes,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h)  Garantizar la asignación prioritaria del gasto público para el servicio público de seguridad social en salud, como parte fundamental del gasto público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Todas las competencias atribuidas por la presente ley al Presidente de la República y al Gobierno Nacional, se entenderán asignadas en desarrollo del mandato de intervención estatal de que trata este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66" w:anchor="1" w:history="1">
        <w:r w:rsidRPr="00186F49">
          <w:rPr>
            <w:rFonts w:ascii="Arial" w:eastAsia="Times New Roman" w:hAnsi="Arial" w:cs="Arial"/>
            <w:color w:val="0000FF"/>
            <w:kern w:val="0"/>
            <w:szCs w:val="24"/>
            <w:u w:val="single"/>
            <w:lang w:eastAsia="es-ES"/>
          </w:rPr>
          <w:t>Ver Decreto Nacional 1703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155.-Integrantes del sistema general de seguridad social en salud.</w:t>
      </w:r>
      <w:r w:rsidRPr="00186F49">
        <w:rPr>
          <w:rFonts w:ascii="Arial" w:eastAsia="Times New Roman" w:hAnsi="Arial" w:cs="Arial"/>
          <w:kern w:val="0"/>
          <w:szCs w:val="24"/>
          <w:lang w:eastAsia="es-ES"/>
        </w:rPr>
        <w:t xml:space="preserve"> El sistema general de seguridad social en salud está integrado por: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Organismos de dirección, vigilancia y control: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Los Ministerios de Salud y de Trabajo;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El consejo nacional de seguridad social en salud,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La superintendencia nacional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Los organismos de administración y financiación: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Las entidades promotoras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Las direcciones seccionales, distritales y locales de salud,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Las instituciones prestadoras de servicios de salud, públicas, mixtas o privadas.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Las demás entidades de salud que, al entrar en vigencia la presente ley, estén adscritas a los Ministerios de Salud y Trabajo.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Los empleadores, los trabajadores y sus organizaciones y los trabajadores independientes que cotizan al sistema contributivo y los pensionados.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Los beneficiarios del sistema general de seguridad social en salud en todas sus modalidades.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Los comités de participación comunitaria "</w:t>
      </w:r>
      <w:proofErr w:type="spellStart"/>
      <w:r w:rsidRPr="00186F49">
        <w:rPr>
          <w:rFonts w:ascii="Arial" w:eastAsia="Times New Roman" w:hAnsi="Arial" w:cs="Arial"/>
          <w:kern w:val="0"/>
          <w:szCs w:val="24"/>
          <w:lang w:eastAsia="es-ES"/>
        </w:rPr>
        <w:t>Copacos</w:t>
      </w:r>
      <w:proofErr w:type="spellEnd"/>
      <w:r w:rsidRPr="00186F49">
        <w:rPr>
          <w:rFonts w:ascii="Arial" w:eastAsia="Times New Roman" w:hAnsi="Arial" w:cs="Arial"/>
          <w:kern w:val="0"/>
          <w:szCs w:val="24"/>
          <w:lang w:eastAsia="es-ES"/>
        </w:rPr>
        <w:t>" creados por la Ley 10 de 1990 y las organizaciones comunales que participen en los subsidios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Instituto de Seguros Sociales seguirá cumpliendo con las funciones que le competan de acuerdo con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156</w:t>
      </w:r>
      <w:r w:rsidRPr="00186F49">
        <w:rPr>
          <w:rFonts w:ascii="Arial" w:eastAsia="Times New Roman" w:hAnsi="Arial" w:cs="Arial"/>
          <w:kern w:val="0"/>
          <w:szCs w:val="24"/>
          <w:lang w:eastAsia="es-ES"/>
        </w:rPr>
        <w:t>-</w:t>
      </w:r>
      <w:r w:rsidRPr="00186F49">
        <w:rPr>
          <w:rFonts w:ascii="Arial" w:eastAsia="Times New Roman" w:hAnsi="Arial" w:cs="Arial"/>
          <w:b/>
          <w:bCs/>
          <w:kern w:val="0"/>
          <w:szCs w:val="24"/>
          <w:lang w:eastAsia="es-ES"/>
        </w:rPr>
        <w:t>Características básicas del sistema general de seguridad social en salud</w:t>
      </w:r>
      <w:r w:rsidRPr="00186F49">
        <w:rPr>
          <w:rFonts w:ascii="Arial" w:eastAsia="Times New Roman" w:hAnsi="Arial" w:cs="Arial"/>
          <w:kern w:val="0"/>
          <w:szCs w:val="24"/>
          <w:lang w:eastAsia="es-ES"/>
        </w:rPr>
        <w:t>. El sistema general de seguridad social en salud tendrá las siguientes características: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El Gobierno Nacional dirigirá, orientará, regulará, controlará y vigilará el servicio público esencial de salud que constituye el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Todos los habitantes en Colombia deberán estar afiliados al sistema general de seguridad social en salud, previo el pago de la cotización reglamentaria o a través del subsidio que se financiará con recursos fiscales, de solidaridad y los ingresos propios de los entes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c)  Todos los afiliados al sistema general de seguridad social en salud recibirán un plan integral de protección de la salud, con atención preventiva, médico-quirúrgica y medicamentos esenciales, que será denominado el plan obligatorio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El recaudo de las cotizaciones será responsabilidad del sistema general de seguridad social-fondo de solidaridad y garantía, quien delegará en lo pertinente esta función en las entidades promotoras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Las entidades promotoras de salud tendrán a cargo la afiliación de los usuarios y la administración de la prestación de los servicios de las instituciones prestadoras. Ellas están en la obligación de suministrar, dentro de los límites establecidos en el numeral 5º del artículo 180, a cualquier persona que desee afiliarse y pague la cotización o tenga el subsidio correspondiente, el plan obligatorio de salud, en los términos que reglamente el gobierno;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f)  Por cada persona afiliada y beneficiaria, la entidad promotora de salud recibirá una unidad de pago por capitación, UPC, que será establecida periódicamente por 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g)  Los afiliados al sistema elegirán libremente la entidad promotora de salud, dentro de las condiciones de la presente ley. Así mismo, escogerán las instituciones prestadoras de servicios y/o los profesionales adscritos o con vinculación laboral a la entidad promotora de salud, dentro de las opciones por ella ofrecida;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h)  Los afiliados podrán conformar alianzas o asociaciones de usuarios que los representarán ante las entidades promotoras de salud y las instituciones prestadoras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i)  Las instituciones prestadoras de salud son entidades oficiales, mixtas, privadas, comunitarias y solidarias, organizadas para la prestación de los servicios de salud a los afiliados del sistema general de seguridad social en salud, dentro de </w:t>
      </w:r>
      <w:proofErr w:type="gramStart"/>
      <w:r w:rsidRPr="00186F49">
        <w:rPr>
          <w:rFonts w:ascii="Arial" w:eastAsia="Times New Roman" w:hAnsi="Arial" w:cs="Arial"/>
          <w:kern w:val="0"/>
          <w:szCs w:val="24"/>
          <w:lang w:eastAsia="es-ES"/>
        </w:rPr>
        <w:t>la entidades promotoras</w:t>
      </w:r>
      <w:proofErr w:type="gramEnd"/>
      <w:r w:rsidRPr="00186F49">
        <w:rPr>
          <w:rFonts w:ascii="Arial" w:eastAsia="Times New Roman" w:hAnsi="Arial" w:cs="Arial"/>
          <w:kern w:val="0"/>
          <w:szCs w:val="24"/>
          <w:lang w:eastAsia="es-ES"/>
        </w:rPr>
        <w:t xml:space="preserve"> de salud o fuera de ellas. El Estado podrá establecer mecanismos para el fomento de estas organizaciones y abrir líneas de crédito para la organización de grupos de práctica profesional y para las instituciones prestadoras de servicios de tipo comunitario y solidario;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j)  Con el objeto de asegurar el ingreso de toda la población al sistema en condiciones equitativas, existirá un régimen subsidiado para los más pobres y vulnerables que se financiará con aportes fiscales de la Nación, de los departamentos, los distritos y los municipios, el fondo de solidaridad y garantía y recursos de los afiliados en la medida de su capacidad;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k)  Las entidades promotoras de salud podrán prestar servicios directos a sus afiliados por medio de sus propias instituciones prestadoras de salud, o contratar con instituciones prestadoras y profesionales independientes o con grupos de práctica profesional, debidamente constituidos;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  Existirá un fondo de solidaridad y garantía que tendrá por objeto, de acuerdo con las disposiciones de esta ley, garantizar la compensación entre personas de distintos ingresos y riesgos y la solidaridad del sistema general de seguridad social en salud, cubrir los riesgos catastróficos y los accidentes de tránsito y demás funciones complementarias señaladas en esta ley;</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kern w:val="0"/>
          <w:szCs w:val="24"/>
          <w:lang w:eastAsia="es-ES"/>
        </w:rPr>
        <w:t xml:space="preserve">m)  El consejo nacional de seguridad social en salud a que hacen referencia los artículos 171 y 172 de esta ley, es el organismo de concertación entre los diferentes integrantes del sistema general de seguridad social en salud. Sus decisiones serán obligatorias, podrán ser revisadas periódicamente por el mismo consejo </w:t>
      </w:r>
      <w:r w:rsidRPr="00186F49">
        <w:rPr>
          <w:rFonts w:ascii="Arial" w:eastAsia="Times New Roman" w:hAnsi="Arial" w:cs="Arial"/>
          <w:b/>
          <w:bCs/>
          <w:kern w:val="0"/>
          <w:szCs w:val="24"/>
          <w:lang w:eastAsia="es-ES"/>
        </w:rPr>
        <w:t>y deberán ser adoptadas por el Gobierno Nacional</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*(Nota: El texto entre paréntesis fue declarado inexequible por la Corte Constitucional en Sentencia C-577 de 1995)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n)  Las entidades territoriales, con cargo a los fondos seccionales y locales de salud cumplirán, de conformidad con la Ley 60 de 1993 y las disposiciones de la presente ley la financiación al subsidio a la demanda allí dispuesta y en los términos previstos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o)  Las entidades territoriales celebrarán convenios con las entidades promotoras de salud para la administración de la prestación de los servicios de salud propios del régimen subsidiado de que trata la presente ley. Se financiarán con cargo a los recursos destinados al sector salud en cada entidad territorial, bien se trate de recursos cedidos, participaciones o propios, o de los recursos previstos para el fondo de solidaridad y garantía. Corresponde a los particulares aportar en proporción a su capacidad socioeconómica en los términos y bajo las condiciones previstas en la presente ley,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  La Nación y las entidades territoriales, a través de las instituciones hospitalarias públicas o privadas en todos los niveles de atención que tengan contrato de prestación de servicios con él para este efecto, garantizarán el acceso al servicio que ellas prestan a quienes no estén amparados por el sistema general de seguridad social en salud, hasta cuando éste logre la cobertura universal.</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los afiliados al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61" w:name="BM157"/>
      <w:r w:rsidRPr="00186F49">
        <w:rPr>
          <w:rFonts w:ascii="Arial" w:eastAsia="Times New Roman" w:hAnsi="Arial" w:cs="Arial"/>
          <w:b/>
          <w:bCs/>
          <w:kern w:val="0"/>
          <w:szCs w:val="24"/>
          <w:lang w:eastAsia="es-ES"/>
        </w:rPr>
        <w:t> </w:t>
      </w:r>
      <w:bookmarkStart w:id="62" w:name="157"/>
      <w:bookmarkEnd w:id="61"/>
      <w:r w:rsidRPr="00186F49">
        <w:rPr>
          <w:rFonts w:ascii="Arial" w:eastAsia="Times New Roman" w:hAnsi="Arial" w:cs="Arial"/>
          <w:b/>
          <w:bCs/>
          <w:kern w:val="0"/>
          <w:szCs w:val="24"/>
          <w:lang w:eastAsia="es-ES"/>
        </w:rPr>
        <w:t> </w:t>
      </w:r>
      <w:bookmarkEnd w:id="62"/>
      <w:r w:rsidRPr="00186F49">
        <w:rPr>
          <w:rFonts w:ascii="Arial" w:eastAsia="Times New Roman" w:hAnsi="Arial" w:cs="Arial"/>
          <w:b/>
          <w:bCs/>
          <w:kern w:val="0"/>
          <w:szCs w:val="24"/>
          <w:lang w:eastAsia="es-ES"/>
        </w:rPr>
        <w:t>157.-Tipos de participantes en el sistema general de seguridad social en salud</w:t>
      </w:r>
      <w:r w:rsidRPr="00186F49">
        <w:rPr>
          <w:rFonts w:ascii="Arial" w:eastAsia="Times New Roman" w:hAnsi="Arial" w:cs="Arial"/>
          <w:kern w:val="0"/>
          <w:szCs w:val="24"/>
          <w:lang w:eastAsia="es-ES"/>
        </w:rPr>
        <w:t>. A partir de la sanción de la presente ley, todo colombiano participará en el servicio público esencial de salud que permite el sistema general de seguridad social en salud. Unos lo harán en su condición de afiliados al régimen contributivo o subsidiado y otros lo harán en forma temporal como participantes vinculados.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Afiliados al sistema de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Existirán dos tipos de afiliados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1.  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régimen contributivo de que trata el capítulo I del título III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2.  Los afiliados al sistema mediante el régimen subsidiado de que trata el artículo 211 de la presente ley son las personas sin capacidad de pago para cubrir el monto total de la cotización. Será subsidiada en el sistema general de seguridad social en salud la población más pobre y vulnerable del país en las áreas rural y urbana. Tendrán particular importancia, dentro de este grupo, personas tales como las madres durante el embarazo, parto y posparto y período de lactancia, las madres comunitarias, las mujeres cabeza de familia, los niños menores de un año, los menores en situación irregular, los enfermos de </w:t>
      </w:r>
      <w:proofErr w:type="spellStart"/>
      <w:r w:rsidRPr="00186F49">
        <w:rPr>
          <w:rFonts w:ascii="Arial" w:eastAsia="Times New Roman" w:hAnsi="Arial" w:cs="Arial"/>
          <w:kern w:val="0"/>
          <w:szCs w:val="24"/>
          <w:lang w:eastAsia="es-ES"/>
        </w:rPr>
        <w:t>Hansen</w:t>
      </w:r>
      <w:proofErr w:type="spellEnd"/>
      <w:r w:rsidRPr="00186F49">
        <w:rPr>
          <w:rFonts w:ascii="Arial" w:eastAsia="Times New Roman" w:hAnsi="Arial" w:cs="Arial"/>
          <w:kern w:val="0"/>
          <w:szCs w:val="24"/>
          <w:lang w:eastAsia="es-ES"/>
        </w:rPr>
        <w:t>, las personas mayores de 65 años, los discapacitados, los campesinos, las comunidades indígenas, los trabajadores y profesionales independientes, artistas y deportistas, toreros y sus subalternos, periodistas independientes, maestros de obra de construcción, albañiles, taxistas, electricistas, desempleados y demás personas sin capacidad de pago.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Personas vinculadas al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participantes vinculados son aquellas personas que por motivos de incapacidad de pago y mientras logran ser beneficiarios del régimen subsidiado tendrán derecho a los servicios de atención de salud que prestan las instituciones públicas y aquellas privadas que tengan contrato con el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67" w:anchor="113" w:history="1">
        <w:r w:rsidRPr="00186F49">
          <w:rPr>
            <w:rFonts w:ascii="Arial" w:eastAsia="Times New Roman" w:hAnsi="Arial" w:cs="Arial"/>
            <w:color w:val="0000FF"/>
            <w:kern w:val="0"/>
            <w:szCs w:val="24"/>
            <w:u w:val="single"/>
            <w:lang w:eastAsia="es-ES"/>
          </w:rPr>
          <w:t>Inciso derogado por el art. 113, Ley 715 de 2001</w:t>
        </w:r>
      </w:hyperlink>
      <w:r w:rsidRPr="00186F49">
        <w:rPr>
          <w:rFonts w:ascii="Arial" w:eastAsia="Times New Roman" w:hAnsi="Arial" w:cs="Arial"/>
          <w:kern w:val="0"/>
          <w:szCs w:val="24"/>
          <w:lang w:eastAsia="es-ES"/>
        </w:rPr>
        <w:t>. A partir del año 2000, todo colombiano deberá estar vinculado al sistema a través de los regímenes contributivo o subsidiado, en donde progresivamente se unificarán los planes de salud para que todos los habitantes del territorio nacional reciban el plan obligatorio de salud de que habla el artículo 162.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Gobierno Nacional establecerá un régimen de estímulos, términos, controles y sanciones para garantizar la universalidad de la afiliación.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La afiliación podrá ser individual o colectiva, a través de las empresas, las agremiaciones, o por asentamientos geográficos, de acuerdo a la reglamentación que para el efecto se expida. El carácter colectivo de la afiliación será voluntario, por lo cual el afiliado no perderá el derecho a elegir o trasladarse libremente entre entidades promotoras de salud. </w:t>
      </w:r>
      <w:hyperlink r:id="rId168" w:anchor="0" w:history="1">
        <w:r w:rsidRPr="00186F49">
          <w:rPr>
            <w:rFonts w:ascii="Arial" w:eastAsia="Times New Roman" w:hAnsi="Arial" w:cs="Arial"/>
            <w:color w:val="0000FF"/>
            <w:kern w:val="0"/>
            <w:szCs w:val="24"/>
            <w:u w:val="single"/>
            <w:lang w:eastAsia="es-ES"/>
          </w:rPr>
          <w:t xml:space="preserve">Ver Decreto Nacional 516 de 2004.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 xml:space="preserve">Podrán establecerse alianzas o asociaciones de usuarios, las cuales serán promovidas y reglamentadas por el Gobierno Nacional con el fin de fortalecer la capacidad negociadora, la protección de los derechos y la participación comunitaria de los afiliados al sistema general de seguridad social en salud. Estas agrupaciones de usuarios podrán tener como referencia empresas, sociedades mutuales, ramas de actividad social y económica, </w:t>
      </w:r>
      <w:r w:rsidRPr="00186F49">
        <w:rPr>
          <w:rFonts w:ascii="Arial" w:eastAsia="Times New Roman" w:hAnsi="Arial" w:cs="Arial"/>
          <w:kern w:val="0"/>
          <w:szCs w:val="24"/>
          <w:lang w:eastAsia="es-ES"/>
        </w:rPr>
        <w:lastRenderedPageBreak/>
        <w:t>sindicatos, ordenamientos territoriales u otros tipos de asociación, y podrán cobrar una cuota de afiliación.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El consejo nacional de seguridad social definirá y reglamentará los grupos de afiliación prioritaria al subsidio.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w:t>
      </w:r>
      <w:hyperlink r:id="rId169" w:anchor="1" w:history="1">
        <w:r w:rsidRPr="00186F49">
          <w:rPr>
            <w:rFonts w:ascii="Arial" w:eastAsia="Times New Roman" w:hAnsi="Arial" w:cs="Arial"/>
            <w:color w:val="0000FF"/>
            <w:kern w:val="0"/>
            <w:szCs w:val="24"/>
            <w:u w:val="single"/>
            <w:lang w:eastAsia="es-ES"/>
          </w:rPr>
          <w:t>Declarado Exequible Sentencia Corte Constitucional 130 de 2002</w:t>
        </w:r>
      </w:hyperlink>
      <w:r w:rsidRPr="00186F49">
        <w:rPr>
          <w:rFonts w:ascii="Arial" w:eastAsia="Times New Roman" w:hAnsi="Arial" w:cs="Arial"/>
          <w:kern w:val="0"/>
          <w:szCs w:val="24"/>
          <w:lang w:eastAsia="es-ES"/>
        </w:rPr>
        <w:t xml:space="preserve"> , </w:t>
      </w:r>
      <w:hyperlink r:id="rId170" w:anchor="1" w:history="1">
        <w:r w:rsidRPr="00186F49">
          <w:rPr>
            <w:rFonts w:ascii="Arial" w:eastAsia="Times New Roman" w:hAnsi="Arial" w:cs="Arial"/>
            <w:color w:val="0000FF"/>
            <w:kern w:val="0"/>
            <w:szCs w:val="24"/>
            <w:u w:val="single"/>
            <w:lang w:eastAsia="es-ES"/>
          </w:rPr>
          <w:t>Ver Decreto Nacional 1703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63" w:name="BM158"/>
      <w:r w:rsidRPr="00186F49">
        <w:rPr>
          <w:rFonts w:ascii="Arial" w:eastAsia="Times New Roman" w:hAnsi="Arial" w:cs="Arial"/>
          <w:b/>
          <w:bCs/>
          <w:kern w:val="0"/>
          <w:szCs w:val="24"/>
          <w:lang w:eastAsia="es-ES"/>
        </w:rPr>
        <w:t> </w:t>
      </w:r>
      <w:bookmarkEnd w:id="63"/>
      <w:r w:rsidRPr="00186F49">
        <w:rPr>
          <w:rFonts w:ascii="Arial" w:eastAsia="Times New Roman" w:hAnsi="Arial" w:cs="Arial"/>
          <w:b/>
          <w:bCs/>
          <w:kern w:val="0"/>
          <w:szCs w:val="24"/>
          <w:lang w:eastAsia="es-ES"/>
        </w:rPr>
        <w:t>158.-Beneficios para desmovilizados</w:t>
      </w:r>
      <w:r w:rsidRPr="00186F49">
        <w:rPr>
          <w:rFonts w:ascii="Arial" w:eastAsia="Times New Roman" w:hAnsi="Arial" w:cs="Arial"/>
          <w:kern w:val="0"/>
          <w:szCs w:val="24"/>
          <w:lang w:eastAsia="es-ES"/>
        </w:rPr>
        <w:t>. Los colombianos que, acogiéndose a procesos de paz, se hayan desmovilizado, o lo hagan en el futuro, tendrán derecho a los beneficios del régimen subsidiado en salud contenido en la presente ley, mientras no se afilien al régimen contributivo en virtud de relación de contrato de trabajo. </w:t>
      </w:r>
      <w:hyperlink r:id="rId171" w:anchor="0" w:history="1">
        <w:r w:rsidRPr="00186F49">
          <w:rPr>
            <w:rFonts w:ascii="Arial" w:eastAsia="Times New Roman" w:hAnsi="Arial" w:cs="Arial"/>
            <w:color w:val="0000FF"/>
            <w:kern w:val="0"/>
            <w:szCs w:val="24"/>
            <w:u w:val="single"/>
            <w:lang w:eastAsia="es-ES"/>
          </w:rPr>
          <w:t>Ver el Acuerdo del C.N.S.S.S. 138 de 1999</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159.-Garantías de los afiliados</w:t>
      </w:r>
      <w:r w:rsidRPr="00186F49">
        <w:rPr>
          <w:rFonts w:ascii="Arial" w:eastAsia="Times New Roman" w:hAnsi="Arial" w:cs="Arial"/>
          <w:kern w:val="0"/>
          <w:szCs w:val="24"/>
          <w:lang w:eastAsia="es-ES"/>
        </w:rPr>
        <w:t>. Se garantiza a los afiliados al sistema general de seguridad social en salud la debida organización y prestación del servicio público de salud, en los siguientes términos: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La atención de los servicios del plan obligatorio de salud del artículo 162 por parte de la entidad promotora de salud respectiva a través de las instituciones prestadoras de servicios adscritas.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La atención de urgencias en todo el territorio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La libre escogencia y traslado entre entidades promotoras de salud, sea la modalidad de afiliación individual o colectiva de conformidad con los procedimientos, tiempos, límites y efectos que determine el Gobierno Nacional dentro de las condiciones previstas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La escogencia de las instituciones prestadoras de servicios y de los profesionales entre las opciones que cada entidad promotora de salud ofrezca dentro de su red de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La participación de los afiliados, individualmente o en sus organizaciones, en todas las instancias de asociación, representación, veeduría de las entidades rectoras, promotoras y prestadoras y del sistema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160.-Deberes de los afiliados y beneficiarios</w:t>
      </w:r>
      <w:r w:rsidRPr="00186F49">
        <w:rPr>
          <w:rFonts w:ascii="Arial" w:eastAsia="Times New Roman" w:hAnsi="Arial" w:cs="Arial"/>
          <w:kern w:val="0"/>
          <w:szCs w:val="24"/>
          <w:lang w:eastAsia="es-ES"/>
        </w:rPr>
        <w:t>. Son deberes de los afiliados y beneficiarios del sistema general de seguridad social en salud los siguientes: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Procurar el cuidado integral de su salud y la de su comunidad.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Afiliarse con su familia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Facilitar el pago, y pagar cuando le corresponda, las cotizaciones y pagos obligatorios a que haya lugar.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4.  Suministrar información veraz, clara y completa sobre su estado de salud y los ingresos base de cotización.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Vigilar el cumplimiento de las obligaciones contraídas por los empleadores a las que se refiere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Cumplir las normas, reglamentos e instrucciones de las instituciones y profesionales que le prestan atención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Cuidar y hacer uso racional de los recursos, las instalaciones, la dotación, así como de los servicios y prestaciones sociales y laborales.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Tratar con dignidad el personal humano que lo atiende y respetar la intimidad de los demás pacientes.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161.-Deberes de los empleadores</w:t>
      </w:r>
      <w:r w:rsidRPr="00186F49">
        <w:rPr>
          <w:rFonts w:ascii="Arial" w:eastAsia="Times New Roman" w:hAnsi="Arial" w:cs="Arial"/>
          <w:kern w:val="0"/>
          <w:szCs w:val="24"/>
          <w:lang w:eastAsia="es-ES"/>
        </w:rPr>
        <w:t>. Como integrantes del sistema general de seguridad social en salud, los empleadores, cualquiera que sea la entidad o institución en nombre de la cual vinculen a los trabajadores, deberán: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Inscribir en alguna entidad promotora de salud a todas las personas que tengan alguna vinculación laboral, sea ésta, verbal o escrita, temporal o permanente. La afiliación colectiva en ningún caso podrá coartar la libertad de elección del trabajador sobre la entidad promotora de salud a la cual prefiera afiliarse, de conformidad con el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En consonancia con el artículo 22 de esta ley, contribuir al financiamiento del sistema general de seguridad social en salud, mediante acciones como las siguientes: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Pagar cumplidamente los aportes que le corresponden, de acuerdo con el artículo 204;</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Descontar de los ingresos laborales las cotizaciones que corresponden a los trabajadores a su servicio,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Girar oportunamente los aportes y las cotizaciones a la entidad promotora de salud, de acuerdo a la reglamentación que expida el gobierno.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Informar las novedades laborales de sus trabajadores a la entidad a la cual están afiliados, en materias tales como el nivel de ingresos y sus cambios, las vinculaciones y retiros de trabajadores. Así mismo, informar a los trabajadores sobre las garantías y las obligaciones que les asisten en el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Garantizar un medio ambiente laboral sano, que permita prevenir los riesgos de trabajo y enfermedad profesional, mediante la adopción de los sistemas de seguridad industrial y la observancia de las normas de salud ocupacional y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PARAGRAFO.</w:t>
      </w:r>
      <w:r w:rsidRPr="00186F49">
        <w:rPr>
          <w:rFonts w:ascii="Arial" w:eastAsia="Times New Roman" w:hAnsi="Arial" w:cs="Arial"/>
          <w:kern w:val="0"/>
          <w:szCs w:val="24"/>
          <w:lang w:eastAsia="es-ES"/>
        </w:rPr>
        <w:t xml:space="preserve">-Los empleadores que no observen lo dispuesto en el presente artículo estarán sujetos a las mismas sanciones previstas en los artículos 22 y 23 del libro primero de esta ley. Además, los perjuicios por la negligencia en la información laboral, incluyendo la </w:t>
      </w:r>
      <w:proofErr w:type="spellStart"/>
      <w:r w:rsidRPr="00186F49">
        <w:rPr>
          <w:rFonts w:ascii="Arial" w:eastAsia="Times New Roman" w:hAnsi="Arial" w:cs="Arial"/>
          <w:kern w:val="0"/>
          <w:szCs w:val="24"/>
          <w:lang w:eastAsia="es-ES"/>
        </w:rPr>
        <w:t>subdeclaración</w:t>
      </w:r>
      <w:proofErr w:type="spellEnd"/>
      <w:r w:rsidRPr="00186F49">
        <w:rPr>
          <w:rFonts w:ascii="Arial" w:eastAsia="Times New Roman" w:hAnsi="Arial" w:cs="Arial"/>
          <w:kern w:val="0"/>
          <w:szCs w:val="24"/>
          <w:lang w:eastAsia="es-ES"/>
        </w:rPr>
        <w:t xml:space="preserve"> de ingresos, corren a cargo del patrono. La atención de los accidentes de trabajo, riesgos y eventualidades por enfermedad general, maternidad y ATEP serán cubiertos en su totalidad por el patrono en caso de no haberse efectuado la inscripción del trabajador o no gire oportunamente las cotizaciones en la entidad de seguridad social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72" w:anchor="1" w:history="1">
        <w:r w:rsidRPr="00186F49">
          <w:rPr>
            <w:rFonts w:ascii="Arial" w:eastAsia="Times New Roman" w:hAnsi="Arial" w:cs="Arial"/>
            <w:color w:val="0000FF"/>
            <w:kern w:val="0"/>
            <w:szCs w:val="24"/>
            <w:u w:val="single"/>
            <w:lang w:eastAsia="es-ES"/>
          </w:rPr>
          <w:t>Ver Art. 29 Decreto Nacional 1703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El régimen de beneficios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64" w:name="BM162"/>
      <w:r w:rsidRPr="00186F49">
        <w:rPr>
          <w:rFonts w:ascii="Arial" w:eastAsia="Times New Roman" w:hAnsi="Arial" w:cs="Arial"/>
          <w:b/>
          <w:bCs/>
          <w:kern w:val="0"/>
          <w:szCs w:val="24"/>
          <w:lang w:eastAsia="es-ES"/>
        </w:rPr>
        <w:t> </w:t>
      </w:r>
      <w:bookmarkEnd w:id="64"/>
      <w:r w:rsidRPr="00186F49">
        <w:rPr>
          <w:rFonts w:ascii="Arial" w:eastAsia="Times New Roman" w:hAnsi="Arial" w:cs="Arial"/>
          <w:b/>
          <w:bCs/>
          <w:kern w:val="0"/>
          <w:szCs w:val="24"/>
          <w:lang w:eastAsia="es-ES"/>
        </w:rPr>
        <w:t>ARTICULO. </w:t>
      </w:r>
      <w:bookmarkStart w:id="65" w:name="162"/>
      <w:r w:rsidRPr="00186F49">
        <w:rPr>
          <w:rFonts w:ascii="Arial" w:eastAsia="Times New Roman" w:hAnsi="Arial" w:cs="Arial"/>
          <w:b/>
          <w:bCs/>
          <w:kern w:val="0"/>
          <w:szCs w:val="24"/>
          <w:lang w:eastAsia="es-ES"/>
        </w:rPr>
        <w:t> </w:t>
      </w:r>
      <w:bookmarkEnd w:id="65"/>
      <w:r w:rsidRPr="00186F49">
        <w:rPr>
          <w:rFonts w:ascii="Arial" w:eastAsia="Times New Roman" w:hAnsi="Arial" w:cs="Arial"/>
          <w:b/>
          <w:bCs/>
          <w:kern w:val="0"/>
          <w:szCs w:val="24"/>
          <w:lang w:eastAsia="es-ES"/>
        </w:rPr>
        <w:t>162.- Plan de salud obligatorio.</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Artículo declarado CONDICIONALMENTE EXEQUIBLE por la Corte Constitucional, mediante Sentencia</w:t>
      </w:r>
      <w:r w:rsidRPr="00186F49">
        <w:rPr>
          <w:rFonts w:ascii="Arial" w:eastAsia="Times New Roman" w:hAnsi="Arial" w:cs="Arial"/>
          <w:kern w:val="0"/>
          <w:szCs w:val="24"/>
          <w:lang w:eastAsia="es-ES"/>
        </w:rPr>
        <w:t xml:space="preserve"> C-663 </w:t>
      </w:r>
      <w:r w:rsidRPr="00186F49">
        <w:rPr>
          <w:rFonts w:ascii="Arial" w:eastAsia="Times New Roman" w:hAnsi="Arial" w:cs="Arial"/>
          <w:b/>
          <w:bCs/>
          <w:kern w:val="0"/>
          <w:szCs w:val="24"/>
          <w:lang w:eastAsia="es-ES"/>
        </w:rPr>
        <w:t>de 1996</w:t>
      </w:r>
      <w:r w:rsidRPr="00186F49">
        <w:rPr>
          <w:rFonts w:ascii="Arial" w:eastAsia="Times New Roman" w:hAnsi="Arial" w:cs="Arial"/>
          <w:kern w:val="0"/>
          <w:szCs w:val="24"/>
          <w:lang w:eastAsia="es-ES"/>
        </w:rPr>
        <w:t>. El sistema general de seguridad social de salud crea las condiciones de acceso a un plano obligatorio de salud para todos habitantes del territorio nacional antes del año 2001. Este plan permitirá la protección integral de las familias a la maternidad y enfermedad general, en las fases de promoción y fomento de la salud y la prevención, diagnóstico, tratamiento y rehabilitación para todas las patologías, según la intensidad de uso y los niveles de atención y complejidad que se definan.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los afiliados cotizantes según las normas del régimen contributivo, el contenido del plan obligatorio de salud que defina el consejo nacional de seguridad social en salud será el contemplado por el Decreto-Ley 1650 de 1977 y sus reglamentaciones, incluyendo la provisión de medicamentos esenciales en su presentación genérica. Para los otros beneficiarios de la familia del cotizante, el plan obligatorio de salud será similar al anterior, pero en su financiación concurrirán los pagos moderadores, especialmente en el primer nivel de atención, en los términos del artículo 188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los afiliados según las normas del régimen subsidiado, el consejo nacional de seguridad social en salud diseñará un programa para que sus beneficiarios alcancen el plan obligatorio del sistema contributivo, en forma progresiva antes del año 2001. En su punto de partida, el plan incluirá servicios de salud del primer nivel por un valor equivalente al 50% de la unidad de pago por capitación del sistema contributivo. Los servicios del segundo y tercer nivel se incorporarán progresivamente al plan de acuerdo con su aporte a los años de vida saludables.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w:t>
      </w:r>
      <w:r w:rsidRPr="00186F49">
        <w:rPr>
          <w:rFonts w:ascii="Arial" w:eastAsia="Times New Roman" w:hAnsi="Arial" w:cs="Arial"/>
          <w:kern w:val="0"/>
          <w:szCs w:val="24"/>
          <w:lang w:eastAsia="es-ES"/>
        </w:rPr>
        <w:t>º-En el período de transición, la población del régimen subsidiado obtendrá los servicios hospitalarios de mayor complejidad en los hospitales públicos del subsector oficial de salud y en los de los hospitales privados con los cuales el Estado tenga contrato de prestación de servicios.</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 xml:space="preserve">PARAGRAFO. 2º-Modificado por el Decreto 266 de 2000 artículo 98 - el Decreto 266 de 2000, fue declarado inexequible, desde su promulgación, por la Corte Constitucional en Sentencia C-1316 de 2000.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servicios de salud incluidos en el plan obligatorio de salud serán actualizados por el consejo nacional de seguridad social en salud, de acuerdo con los cambios en la estructura demográfica de la población, el perfil epidemiológico nacional, la tecnología apropiada disponible en el país y las condiciones financieras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La Superintendencia Nacional de Salud verificará la conformidad de la prestación del plan obligatorio de salud por cada entidad promotora de salud en el territorio nacional con lo dispuesto por el consejo nacional de seguridad social en salud y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Toda entidad promotora de salud reasegurará los riesgos derivados de la atención de enfermedades calificadas por el consejo nacional de seguridad social como de alto costo.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5º-</w:t>
      </w:r>
      <w:r w:rsidRPr="00186F49">
        <w:rPr>
          <w:rFonts w:ascii="Arial" w:eastAsia="Times New Roman" w:hAnsi="Arial" w:cs="Arial"/>
          <w:kern w:val="0"/>
          <w:szCs w:val="24"/>
          <w:lang w:eastAsia="es-ES"/>
        </w:rPr>
        <w:t xml:space="preserve">Para la prestación de los servicios del plan obligatorio de salud, todas las entidades promotoras de salud establecerán un sistema de referencia y </w:t>
      </w:r>
      <w:proofErr w:type="spellStart"/>
      <w:r w:rsidRPr="00186F49">
        <w:rPr>
          <w:rFonts w:ascii="Arial" w:eastAsia="Times New Roman" w:hAnsi="Arial" w:cs="Arial"/>
          <w:kern w:val="0"/>
          <w:szCs w:val="24"/>
          <w:lang w:eastAsia="es-ES"/>
        </w:rPr>
        <w:t>contrarreferencia</w:t>
      </w:r>
      <w:proofErr w:type="spellEnd"/>
      <w:r w:rsidRPr="00186F49">
        <w:rPr>
          <w:rFonts w:ascii="Arial" w:eastAsia="Times New Roman" w:hAnsi="Arial" w:cs="Arial"/>
          <w:kern w:val="0"/>
          <w:szCs w:val="24"/>
          <w:lang w:eastAsia="es-ES"/>
        </w:rPr>
        <w:t xml:space="preserve"> para que el acceso a los servicios de alta complejidad se realizase por el primer nivel de atención, excepto en los servicios de urgencias. El Gobierno Nacional, sin perjuicio del sistema que corresponde a las entidades territoriales, establecerá las normas.</w:t>
      </w:r>
    </w:p>
    <w:p w:rsidR="00186F49" w:rsidRPr="00186F49" w:rsidRDefault="00186F49" w:rsidP="00186F49">
      <w:pPr>
        <w:spacing w:before="100" w:before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w:t>
      </w:r>
      <w:bookmarkStart w:id="66" w:name="P.6"/>
      <w:r w:rsidRPr="00186F49">
        <w:rPr>
          <w:rFonts w:ascii="Arial" w:eastAsia="Times New Roman" w:hAnsi="Arial" w:cs="Arial"/>
          <w:b/>
          <w:bCs/>
          <w:kern w:val="0"/>
          <w:szCs w:val="24"/>
          <w:lang w:eastAsia="es-ES"/>
        </w:rPr>
        <w:t> </w:t>
      </w:r>
      <w:bookmarkEnd w:id="66"/>
      <w:r w:rsidRPr="00186F49">
        <w:rPr>
          <w:rFonts w:ascii="Arial" w:eastAsia="Times New Roman" w:hAnsi="Arial" w:cs="Arial"/>
          <w:b/>
          <w:bCs/>
          <w:kern w:val="0"/>
          <w:szCs w:val="24"/>
          <w:lang w:eastAsia="es-ES"/>
        </w:rPr>
        <w:t>6º-</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Adicionado por el Decreto 1122 de 1999 artículo 191 - el Decreto 1122 de 1999, fue declarado inexequible, desde su promulgación, por la Corte Constitucional en Sentencia C-923 de 1999.</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73" w:anchor="0" w:history="1">
        <w:r w:rsidRPr="00186F49">
          <w:rPr>
            <w:rFonts w:ascii="Arial" w:eastAsia="Times New Roman" w:hAnsi="Arial" w:cs="Arial"/>
            <w:color w:val="0000FF"/>
            <w:kern w:val="0"/>
            <w:szCs w:val="24"/>
            <w:u w:val="single"/>
            <w:lang w:eastAsia="es-ES"/>
          </w:rPr>
          <w:t>Ver el Decreto Nacional 826 de 2010</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162A.-</w:t>
      </w:r>
      <w:hyperlink r:id="rId174" w:anchor="9" w:history="1">
        <w:r w:rsidRPr="00186F49">
          <w:rPr>
            <w:rFonts w:ascii="Arial" w:eastAsia="Times New Roman" w:hAnsi="Arial" w:cs="Arial"/>
            <w:color w:val="0000FF"/>
            <w:kern w:val="0"/>
            <w:szCs w:val="24"/>
            <w:u w:val="single"/>
            <w:lang w:eastAsia="es-ES"/>
          </w:rPr>
          <w:t>Adicionado por el art. 9, Decreto Nacional 131 de 2010</w:t>
        </w:r>
      </w:hyperlink>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El Decreto 131 de 2010 fue  declarado INEXEQUIBLE por la Corte Constitucional, mediante Sentencia</w:t>
      </w:r>
      <w:r w:rsidRPr="00186F49">
        <w:rPr>
          <w:rFonts w:ascii="Arial" w:eastAsia="Times New Roman" w:hAnsi="Arial" w:cs="Arial"/>
          <w:kern w:val="0"/>
          <w:szCs w:val="24"/>
          <w:lang w:eastAsia="es-ES"/>
        </w:rPr>
        <w:t xml:space="preserve"> C-289 </w:t>
      </w:r>
      <w:r w:rsidRPr="00186F49">
        <w:rPr>
          <w:rFonts w:ascii="Arial" w:eastAsia="Times New Roman" w:hAnsi="Arial" w:cs="Arial"/>
          <w:b/>
          <w:bCs/>
          <w:kern w:val="0"/>
          <w:szCs w:val="24"/>
          <w:lang w:eastAsia="es-ES"/>
        </w:rPr>
        <w:t>de 2010</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163.- La cobertura familiar</w:t>
      </w:r>
      <w:r w:rsidRPr="00186F49">
        <w:rPr>
          <w:rFonts w:ascii="Arial" w:eastAsia="Times New Roman" w:hAnsi="Arial" w:cs="Arial"/>
          <w:kern w:val="0"/>
          <w:szCs w:val="24"/>
          <w:lang w:eastAsia="es-ES"/>
        </w:rPr>
        <w:t xml:space="preserve">. El plan de salud obligatorio de salud tendrá cobertura familiar. Para estos efectos, serán beneficiarios del sistema </w:t>
      </w:r>
      <w:proofErr w:type="spellStart"/>
      <w:r w:rsidRPr="00186F49">
        <w:rPr>
          <w:rFonts w:ascii="Arial" w:eastAsia="Times New Roman" w:hAnsi="Arial" w:cs="Arial"/>
          <w:kern w:val="0"/>
          <w:szCs w:val="24"/>
          <w:lang w:eastAsia="es-ES"/>
        </w:rPr>
        <w:t>el</w:t>
      </w:r>
      <w:proofErr w:type="spellEnd"/>
      <w:r w:rsidRPr="00186F49">
        <w:rPr>
          <w:rFonts w:ascii="Arial" w:eastAsia="Times New Roman" w:hAnsi="Arial" w:cs="Arial"/>
          <w:kern w:val="0"/>
          <w:szCs w:val="24"/>
          <w:lang w:eastAsia="es-ES"/>
        </w:rPr>
        <w:t xml:space="preserve"> (o la) cónyuge o el compañero o la compañera permanente del afiliado </w:t>
      </w:r>
      <w:r w:rsidRPr="00186F49">
        <w:rPr>
          <w:rFonts w:ascii="Arial" w:eastAsia="Times New Roman" w:hAnsi="Arial" w:cs="Arial"/>
          <w:kern w:val="0"/>
          <w:szCs w:val="24"/>
          <w:u w:val="single"/>
          <w:lang w:eastAsia="es-ES"/>
        </w:rPr>
        <w:t>cuya unión sea superior a 2 años</w:t>
      </w:r>
      <w:r w:rsidRPr="00186F49">
        <w:rPr>
          <w:rFonts w:ascii="Arial" w:eastAsia="Times New Roman" w:hAnsi="Arial" w:cs="Arial"/>
          <w:kern w:val="0"/>
          <w:szCs w:val="24"/>
          <w:lang w:eastAsia="es-ES"/>
        </w:rPr>
        <w:t>; los hijos menores de 18 años de cualquiera de los cónyuges, que haga parte del núcleo familiar y que dependan económicamente de éste; los hijos mayores de 18 años con incapacidad permanente o aquéllos que tengan menos de 25 años, (sean estudiantes con dedicación exclusiva) y dependan económicamente del afiliado. A falta de cónyuge, compañero o compañera permanente, e hijos con derecho, la cobertura familiar podrá extenderse a los padres del afiliado no pensionados que dependan económicamente de éste. </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r w:rsidRPr="00186F49">
        <w:rPr>
          <w:rFonts w:ascii="Arial" w:eastAsia="Times New Roman" w:hAnsi="Arial" w:cs="Arial"/>
          <w:b/>
          <w:bCs/>
          <w:kern w:val="0"/>
          <w:szCs w:val="24"/>
          <w:lang w:eastAsia="es-ES"/>
        </w:rPr>
        <w:t>Texto subrayado declarado INEXEQUIBLE por la Corte Constitucional mediante Sentencia</w:t>
      </w:r>
      <w:r w:rsidRPr="00186F49">
        <w:rPr>
          <w:rFonts w:ascii="Arial" w:eastAsia="Times New Roman" w:hAnsi="Arial" w:cs="Arial"/>
          <w:kern w:val="0"/>
          <w:szCs w:val="24"/>
          <w:lang w:eastAsia="es-ES"/>
        </w:rPr>
        <w:t xml:space="preserve"> </w:t>
      </w:r>
      <w:hyperlink r:id="rId175" w:anchor="0" w:history="1">
        <w:r w:rsidRPr="00186F49">
          <w:rPr>
            <w:rFonts w:ascii="Arial" w:eastAsia="Times New Roman" w:hAnsi="Arial" w:cs="Arial"/>
            <w:color w:val="0000FF"/>
            <w:kern w:val="0"/>
            <w:szCs w:val="24"/>
            <w:u w:val="single"/>
            <w:lang w:eastAsia="es-ES"/>
          </w:rPr>
          <w:t>C-521 de 2007</w:t>
        </w:r>
      </w:hyperlink>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 </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b/>
          <w:bCs/>
          <w:kern w:val="0"/>
          <w:szCs w:val="24"/>
          <w:lang w:eastAsia="es-ES"/>
        </w:rPr>
        <w:lastRenderedPageBreak/>
        <w:t xml:space="preserve">NOTA: El texto entre paréntesis fue declarado EXEQUIBLE por la Corte Constitucional mediante Sentencia </w:t>
      </w:r>
      <w:hyperlink r:id="rId176" w:anchor="0" w:history="1">
        <w:r w:rsidRPr="00186F49">
          <w:rPr>
            <w:rFonts w:ascii="Arial" w:eastAsia="Times New Roman" w:hAnsi="Arial" w:cs="Arial"/>
            <w:color w:val="0000FF"/>
            <w:kern w:val="0"/>
            <w:szCs w:val="24"/>
            <w:u w:val="single"/>
            <w:lang w:eastAsia="es-ES"/>
          </w:rPr>
          <w:t>C-1065</w:t>
        </w:r>
      </w:hyperlink>
      <w:r w:rsidRPr="00186F49">
        <w:rPr>
          <w:rFonts w:ascii="Arial" w:eastAsia="Times New Roman" w:hAnsi="Arial" w:cs="Arial"/>
          <w:b/>
          <w:bCs/>
          <w:kern w:val="0"/>
          <w:szCs w:val="24"/>
          <w:lang w:eastAsia="es-ES"/>
        </w:rPr>
        <w:t xml:space="preserve"> de 2008, en el entendido de que la dedicación exclusiva se refiere al tipo de programa que esté cursando.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Gobierno Nacional reglamentará la inclusión de los hijos que, por su incapacidad permanente, hagan parte de la cobertura familiar.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Todo niño que nazca después de la vigencia de la presente ley quedará automáticamente como beneficiario de la entidad promotora de salud a la cual esté afiliada su madre. El sistema general de seguridad social en salud reconocerá a la entidad promotora de salud la unidad de pago por capitación correspondiente, de conformidad con lo previsto en el artículo 161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Artículo declarado EXEQUIBLE por la Corte Constitucional mediante </w:t>
      </w:r>
      <w:hyperlink r:id="rId177" w:anchor="0" w:history="1">
        <w:r w:rsidRPr="00186F49">
          <w:rPr>
            <w:rFonts w:ascii="Arial" w:eastAsia="Times New Roman" w:hAnsi="Arial" w:cs="Arial"/>
            <w:color w:val="0000FF"/>
            <w:kern w:val="0"/>
            <w:szCs w:val="24"/>
            <w:u w:val="single"/>
            <w:lang w:eastAsia="es-ES"/>
          </w:rPr>
          <w:t>Sentencia C-811 de 2007</w:t>
        </w:r>
      </w:hyperlink>
      <w:r w:rsidRPr="00186F49">
        <w:rPr>
          <w:rFonts w:ascii="Arial" w:eastAsia="Times New Roman" w:hAnsi="Arial" w:cs="Arial"/>
          <w:b/>
          <w:bCs/>
          <w:kern w:val="0"/>
          <w:szCs w:val="24"/>
          <w:lang w:eastAsia="es-ES"/>
        </w:rPr>
        <w:t>, en el entendido que el régimen de protección en ella contenido se aplica también a las parejas del mismo sexo</w:t>
      </w:r>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ARTICULO. </w:t>
      </w:r>
      <w:bookmarkStart w:id="67" w:name="BM164"/>
      <w:r w:rsidRPr="00186F49">
        <w:rPr>
          <w:rFonts w:ascii="Arial" w:eastAsia="Times New Roman" w:hAnsi="Arial" w:cs="Arial"/>
          <w:b/>
          <w:bCs/>
          <w:kern w:val="0"/>
          <w:szCs w:val="24"/>
          <w:lang w:eastAsia="es-ES"/>
        </w:rPr>
        <w:t> </w:t>
      </w:r>
      <w:bookmarkEnd w:id="67"/>
      <w:r w:rsidRPr="00186F49">
        <w:rPr>
          <w:rFonts w:ascii="Arial" w:eastAsia="Times New Roman" w:hAnsi="Arial" w:cs="Arial"/>
          <w:b/>
          <w:bCs/>
          <w:kern w:val="0"/>
          <w:szCs w:val="24"/>
          <w:lang w:eastAsia="es-ES"/>
        </w:rPr>
        <w:t>164.-Preexistencias</w:t>
      </w:r>
      <w:r w:rsidRPr="00186F49">
        <w:rPr>
          <w:rFonts w:ascii="Arial" w:eastAsia="Times New Roman" w:hAnsi="Arial" w:cs="Arial"/>
          <w:kern w:val="0"/>
          <w:szCs w:val="24"/>
          <w:lang w:eastAsia="es-ES"/>
        </w:rPr>
        <w:t>. En el sistema general de seguridad en salud, las empresas promotoras de salud no podrán aplicar preexistencias a sus afiliados.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acceso a la prestación de algunos servicios de alto costo para personas que se afilien al sistema podrá estar sujeto a períodos mínimos de cotización que en ningún caso podrán exceder 100 semanas de afiliación al sistema, de las cuales al menos 26 semanas deberán haber sido pagadas en el último año. Para períodos menores de cotización, el acceso a dichos servicios requerirá un pago por parte del usuario, que se establecerá de acuerdo con su capacidad socioeconómica.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En el régimen subsidiado</w:t>
      </w:r>
      <w:r w:rsidRPr="00186F49">
        <w:rPr>
          <w:rFonts w:ascii="Arial" w:eastAsia="Times New Roman" w:hAnsi="Arial" w:cs="Arial"/>
          <w:kern w:val="0"/>
          <w:szCs w:val="24"/>
          <w:lang w:eastAsia="es-ES"/>
        </w:rPr>
        <w:t>, no se podrán establecer períodos de espera para la atención del parto y los menores de un año. En este caso, las instituciones prestadoras de servicios de salud que atiendan tales intervenciones repetirán contra la subcuenta de solidaridad del fondo de solidaridad y garantía, de acuerdo con el reglamento. </w:t>
      </w:r>
      <w:r w:rsidRPr="00186F49">
        <w:rPr>
          <w:rFonts w:ascii="Arial" w:eastAsia="Times New Roman" w:hAnsi="Arial" w:cs="Arial"/>
          <w:b/>
          <w:bCs/>
          <w:kern w:val="0"/>
          <w:szCs w:val="24"/>
          <w:lang w:eastAsia="es-ES"/>
        </w:rPr>
        <w:t>Texto subrayado declarado INEXEQUIBLE por la Corte Constitucional, mediante</w:t>
      </w:r>
      <w:r w:rsidRPr="00186F49">
        <w:rPr>
          <w:rFonts w:ascii="Arial" w:eastAsia="Times New Roman" w:hAnsi="Arial" w:cs="Arial"/>
          <w:kern w:val="0"/>
          <w:szCs w:val="24"/>
          <w:lang w:eastAsia="es-ES"/>
        </w:rPr>
        <w:t xml:space="preserve"> </w:t>
      </w:r>
      <w:hyperlink r:id="rId178" w:anchor="0" w:history="1">
        <w:r w:rsidRPr="00186F49">
          <w:rPr>
            <w:rFonts w:ascii="Arial" w:eastAsia="Times New Roman" w:hAnsi="Arial" w:cs="Arial"/>
            <w:color w:val="0000FF"/>
            <w:kern w:val="0"/>
            <w:szCs w:val="24"/>
            <w:u w:val="single"/>
            <w:lang w:eastAsia="es-ES"/>
          </w:rPr>
          <w:t>Sentencia C-1032 de 2006</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Cuando se encuentre que alguna entidad promotora de salud aplique preexistencias a algún afiliado, la Superintendencia de Salud podrá aplicar multas hasta por dos veces el valor estimado del tratamiento de la enfermedad excluida. Este recaudo se destinará al fondo de solidaridad y garantía. Cada vez que se reincida, se duplicará el valor de la multa.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79" w:anchor="1" w:history="1">
        <w:r w:rsidRPr="00186F49">
          <w:rPr>
            <w:rFonts w:ascii="Arial" w:eastAsia="Times New Roman" w:hAnsi="Arial" w:cs="Arial"/>
            <w:color w:val="0000FF"/>
            <w:kern w:val="0"/>
            <w:szCs w:val="24"/>
            <w:u w:val="single"/>
            <w:lang w:eastAsia="es-ES"/>
          </w:rPr>
          <w:t>Ver Sentencia Corte Constitucional N° 0693 de 2001</w:t>
        </w:r>
      </w:hyperlink>
      <w:r w:rsidRPr="00186F49">
        <w:rPr>
          <w:rFonts w:ascii="Arial" w:eastAsia="Times New Roman" w:hAnsi="Arial" w:cs="Arial"/>
          <w:kern w:val="0"/>
          <w:szCs w:val="24"/>
          <w:lang w:eastAsia="es-ES"/>
        </w:rPr>
        <w:t xml:space="preserve">, </w:t>
      </w:r>
      <w:hyperlink r:id="rId180" w:anchor="14" w:history="1">
        <w:r w:rsidRPr="00186F49">
          <w:rPr>
            <w:rFonts w:ascii="Arial" w:eastAsia="Times New Roman" w:hAnsi="Arial" w:cs="Arial"/>
            <w:color w:val="0000FF"/>
            <w:kern w:val="0"/>
            <w:szCs w:val="24"/>
            <w:u w:val="single"/>
            <w:lang w:eastAsia="es-ES"/>
          </w:rPr>
          <w:t>Ver el literal h) art. 14, Ley 1122 de 2007</w:t>
        </w:r>
      </w:hyperlink>
      <w:r w:rsidRPr="00186F49">
        <w:rPr>
          <w:rFonts w:ascii="Arial" w:eastAsia="Times New Roman" w:hAnsi="Arial" w:cs="Arial"/>
          <w:kern w:val="0"/>
          <w:szCs w:val="24"/>
          <w:lang w:eastAsia="es-ES"/>
        </w:rPr>
        <w:t xml:space="preserve"> , </w:t>
      </w:r>
      <w:hyperlink r:id="rId181" w:anchor="0" w:history="1">
        <w:r w:rsidRPr="00186F49">
          <w:rPr>
            <w:rFonts w:ascii="Arial" w:eastAsia="Times New Roman" w:hAnsi="Arial" w:cs="Arial"/>
            <w:color w:val="0000FF"/>
            <w:kern w:val="0"/>
            <w:szCs w:val="24"/>
            <w:u w:val="single"/>
            <w:lang w:eastAsia="es-ES"/>
          </w:rPr>
          <w:t>Ver la Circular del Min. Protección 20 de 2007</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165.-Atención básica</w:t>
      </w:r>
      <w:r w:rsidRPr="00186F49">
        <w:rPr>
          <w:rFonts w:ascii="Arial" w:eastAsia="Times New Roman" w:hAnsi="Arial" w:cs="Arial"/>
          <w:kern w:val="0"/>
          <w:szCs w:val="24"/>
          <w:lang w:eastAsia="es-ES"/>
        </w:rPr>
        <w:t xml:space="preserve">. El Ministerio de Salud definirá un plan de atención básica que complemente las acciones previstas en el plan obligatorio de salud de esta ley y las acciones de saneamiento ambiental. Este plan estará </w:t>
      </w:r>
      <w:r w:rsidRPr="00186F49">
        <w:rPr>
          <w:rFonts w:ascii="Arial" w:eastAsia="Times New Roman" w:hAnsi="Arial" w:cs="Arial"/>
          <w:kern w:val="0"/>
          <w:szCs w:val="24"/>
          <w:lang w:eastAsia="es-ES"/>
        </w:rPr>
        <w:lastRenderedPageBreak/>
        <w:t xml:space="preserve">constituido por aquellas intervenciones que se dirigen directamente a la colectividad o aquéllas que son dirigidas a los individuos pero tienen altas externalidades, tales como la información pública, la educación y el fomento de la salud, el control de consumo de tabaco, alcohol y sustancias </w:t>
      </w:r>
      <w:proofErr w:type="spellStart"/>
      <w:r w:rsidRPr="00186F49">
        <w:rPr>
          <w:rFonts w:ascii="Arial" w:eastAsia="Times New Roman" w:hAnsi="Arial" w:cs="Arial"/>
          <w:kern w:val="0"/>
          <w:szCs w:val="24"/>
          <w:lang w:eastAsia="es-ES"/>
        </w:rPr>
        <w:t>sicoactivas</w:t>
      </w:r>
      <w:proofErr w:type="spellEnd"/>
      <w:r w:rsidRPr="00186F49">
        <w:rPr>
          <w:rFonts w:ascii="Arial" w:eastAsia="Times New Roman" w:hAnsi="Arial" w:cs="Arial"/>
          <w:kern w:val="0"/>
          <w:szCs w:val="24"/>
          <w:lang w:eastAsia="es-ES"/>
        </w:rPr>
        <w:t>, la complementación nutricional y planificación familiar, la desparasitación escolar, el control de vectores y las campañas nacionales de prevención, detección precoz y control de enfermedades transmisibles como el sida, la tuberculosis y la lepra, y de enfermedades tropicales como la malaria.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prestación del plan de atención básica será gratuita y obligatoria. La financiación de este plan será garantizada por recursos fiscales del Gobierno Nacional, complementada con recursos de los entes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166.-Atención materno infantil</w:t>
      </w:r>
      <w:r w:rsidRPr="00186F49">
        <w:rPr>
          <w:rFonts w:ascii="Arial" w:eastAsia="Times New Roman" w:hAnsi="Arial" w:cs="Arial"/>
          <w:kern w:val="0"/>
          <w:szCs w:val="24"/>
          <w:lang w:eastAsia="es-ES"/>
        </w:rPr>
        <w:t>. El plan obligatorio de salud para las mujeres en estado de embarazo cubrirá los servicios de salud en el control prenatal, la atención del parto, el control del posparto y la atención de las afecciones relacionadas directamente con la lactancia.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plan obligatorio de salud para los menores de un año cubrirá la educación, información y fomento de la salud, el fomento de la lactancia materna, la vigilancia del crecimiento y desarrollo, la prevención de la enfermedad, incluyendo inmunizaciones, la atención ambulatoria, hospitalaria y de urgencia, incluidos los medicamentos esenciales; y la rehabilitación cuando hubiere lugar, de conformidad con lo previsto en la presente ley y sus reglamentos.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Además del plan obligatorio de salud, las mujeres en estado de embarazo y las madres de los niños menores de un año del régimen subsidiado recibirán un subsidio alimentario en la forma como lo determinen los planes y programas del Instituto Colombiano de Bienestar Familiar y con cargo a éste.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Para los efectos de la presente ley, entiéndase por subsidio alimentario la subvención en especie, consistente en alimentos o nutrientes que se entregan a la mujer gestante y a la madre del menor de un año y que permiten una dieta adecuada.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 xml:space="preserve">El Gobierno Nacional organizará un programa especial de información y educación de la mujer en aspectos de salud integral y educación sexual en las zonas menos desarrolladas del país. Se dará con prioridad al área rural y a las adolescentes. Para el efecto se destinarán el 2% de los recursos anuales del Instituto Colombiano de Bienestar Familiar, el 10% de los recursos a que se refiere el parágrafo 1º del artículo 10 de la Ley 60 de 1993 y el porcentaje de la subcuenta de promoción del fondo de solidaridad y garantía que defina el Gobierno Nacional previa consideración del consejo nacional de seguridad social en salud. El Gobierno Nacional reglamentará los procedimientos de ejecución del programa. La parte del programa que se financie con los recursos del ICBF se ejecutará por este mismo instituto. </w:t>
      </w:r>
      <w:r w:rsidRPr="00186F49">
        <w:rPr>
          <w:rFonts w:ascii="Arial" w:eastAsia="Times New Roman" w:hAnsi="Arial" w:cs="Arial"/>
          <w:b/>
          <w:bCs/>
          <w:kern w:val="0"/>
          <w:szCs w:val="24"/>
          <w:lang w:eastAsia="es-ES"/>
        </w:rPr>
        <w:t xml:space="preserve">Ver el </w:t>
      </w:r>
      <w:proofErr w:type="spellStart"/>
      <w:r w:rsidRPr="00186F49">
        <w:rPr>
          <w:rFonts w:ascii="Arial" w:eastAsia="Times New Roman" w:hAnsi="Arial" w:cs="Arial"/>
          <w:b/>
          <w:bCs/>
          <w:kern w:val="0"/>
          <w:szCs w:val="24"/>
          <w:lang w:eastAsia="es-ES"/>
        </w:rPr>
        <w:t>paragrafo</w:t>
      </w:r>
      <w:proofErr w:type="spellEnd"/>
      <w:r w:rsidRPr="00186F49">
        <w:rPr>
          <w:rFonts w:ascii="Arial" w:eastAsia="Times New Roman" w:hAnsi="Arial" w:cs="Arial"/>
          <w:b/>
          <w:bCs/>
          <w:kern w:val="0"/>
          <w:szCs w:val="24"/>
          <w:lang w:eastAsia="es-ES"/>
        </w:rPr>
        <w:t xml:space="preserve"> del </w:t>
      </w:r>
      <w:proofErr w:type="spellStart"/>
      <w:proofErr w:type="gramStart"/>
      <w:r w:rsidRPr="00186F49">
        <w:rPr>
          <w:rFonts w:ascii="Arial" w:eastAsia="Times New Roman" w:hAnsi="Arial" w:cs="Arial"/>
          <w:b/>
          <w:bCs/>
          <w:kern w:val="0"/>
          <w:szCs w:val="24"/>
          <w:lang w:eastAsia="es-ES"/>
        </w:rPr>
        <w:t>articulo</w:t>
      </w:r>
      <w:proofErr w:type="spellEnd"/>
      <w:proofErr w:type="gramEnd"/>
      <w:r w:rsidRPr="00186F49">
        <w:rPr>
          <w:rFonts w:ascii="Arial" w:eastAsia="Times New Roman" w:hAnsi="Arial" w:cs="Arial"/>
          <w:b/>
          <w:bCs/>
          <w:kern w:val="0"/>
          <w:szCs w:val="24"/>
          <w:lang w:eastAsia="es-ES"/>
        </w:rPr>
        <w:t xml:space="preserve"> 10 de la </w:t>
      </w:r>
      <w:hyperlink r:id="rId182" w:anchor="1" w:history="1">
        <w:r w:rsidRPr="00186F49">
          <w:rPr>
            <w:rFonts w:ascii="Arial" w:eastAsia="Times New Roman" w:hAnsi="Arial" w:cs="Arial"/>
            <w:color w:val="0000FF"/>
            <w:kern w:val="0"/>
            <w:szCs w:val="24"/>
            <w:u w:val="single"/>
            <w:lang w:eastAsia="es-ES"/>
          </w:rPr>
          <w:t>Ley 60 de 1993.</w:t>
        </w:r>
        <w:r w:rsidRPr="00186F49">
          <w:rPr>
            <w:rFonts w:ascii="Arial" w:eastAsia="Times New Roman" w:hAnsi="Arial" w:cs="Arial"/>
            <w:b/>
            <w:bCs/>
            <w:color w:val="0000FF"/>
            <w:kern w:val="0"/>
            <w:szCs w:val="24"/>
            <w:u w:val="single"/>
            <w:lang w:eastAsia="es-ES"/>
          </w:rPr>
          <w:t xml:space="preserve">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167.-Riesgos catastróficos y accidentes de tránsito</w:t>
      </w:r>
      <w:r w:rsidRPr="00186F49">
        <w:rPr>
          <w:rFonts w:ascii="Arial" w:eastAsia="Times New Roman" w:hAnsi="Arial" w:cs="Arial"/>
          <w:kern w:val="0"/>
          <w:szCs w:val="24"/>
          <w:lang w:eastAsia="es-ES"/>
        </w:rPr>
        <w:t xml:space="preserve">. En los casos de urgencias generadas en accidentes de tránsito, en acciones </w:t>
      </w:r>
      <w:r w:rsidRPr="00186F49">
        <w:rPr>
          <w:rFonts w:ascii="Arial" w:eastAsia="Times New Roman" w:hAnsi="Arial" w:cs="Arial"/>
          <w:kern w:val="0"/>
          <w:szCs w:val="24"/>
          <w:lang w:eastAsia="es-ES"/>
        </w:rPr>
        <w:lastRenderedPageBreak/>
        <w:t>terroristas ocasionadas por bombas o artefactos explosivos, en catástrofes naturales u otros eventos expresamente aprobados por el consejo nacional de seguridad social en salud, los afiliados al sistema general de seguridad social en salud tendrán derecho al cubrimiento de los servicios médico-quirúrgicos, indemnización por incapacidad permanente y por muerte, gastos funerarios y gastos de transporte al centro asistencial. El fondo de solidaridad y garantía pagará directamente a la institución que haya prestado el servicio a las tarifas que establezca el Gobierno Nacional de acuerdo con los criterios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En los casos de accidentes de tránsito, el cubrimiento de los servicios médico-quirúrgicos y demás prestaciones continuará a cargo de las aseguradoras autorizadas para administrar los recursos del seguro obligatorio de accidentes de tránsito con las modificaciones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Los demás riesgos aquí previstos serán atendidos con cargo a la subcuenta del fondo de solidaridad y garantía, de acuerdo con la reglamentación que establezca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El Gobierno Nacional reglamentará los procedimientos de cobro y pago de estos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El sistema general de seguridad social en salud podrá establecer un sistema de reaseguros para el cubrimiento de los riesgos catastróficos.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168.-Atención inicial de urgencias</w:t>
      </w:r>
      <w:r w:rsidRPr="00186F49">
        <w:rPr>
          <w:rFonts w:ascii="Arial" w:eastAsia="Times New Roman" w:hAnsi="Arial" w:cs="Arial"/>
          <w:kern w:val="0"/>
          <w:szCs w:val="24"/>
          <w:lang w:eastAsia="es-ES"/>
        </w:rPr>
        <w:t>. La atención inicial de urgencias debe ser prestada en forma obligatoria por todas las entidades públicas y privadas que presten servicios de salud, a todas las personas, independientemente de la capacidad de pago. Su prestación no requiere contrato ni orden previa. El costo de estos servicios será pagado por el fondo de solidaridad y garantía en los casos previstos en el artículo anterior, o por la entidad promotora de salud al cual esté afiliado, en cualquier otro evento.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Los procedimientos de cobro y pago, así como las tarifas de estos servicios serán definidos por el Gobierno Nacional, de acuerdo con las recomendaciones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83" w:anchor="1" w:history="1">
        <w:r w:rsidRPr="00186F49">
          <w:rPr>
            <w:rFonts w:ascii="Arial" w:eastAsia="Times New Roman" w:hAnsi="Arial" w:cs="Arial"/>
            <w:color w:val="0000FF"/>
            <w:kern w:val="0"/>
            <w:szCs w:val="24"/>
            <w:u w:val="single"/>
            <w:lang w:eastAsia="es-ES"/>
          </w:rPr>
          <w:t>Ver Sentencia Corte Constitucional N° 0693 de 2001</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68" w:name="BM169"/>
      <w:r w:rsidRPr="00186F49">
        <w:rPr>
          <w:rFonts w:ascii="Arial" w:eastAsia="Times New Roman" w:hAnsi="Arial" w:cs="Arial"/>
          <w:b/>
          <w:bCs/>
          <w:kern w:val="0"/>
          <w:szCs w:val="24"/>
          <w:lang w:eastAsia="es-ES"/>
        </w:rPr>
        <w:t> </w:t>
      </w:r>
      <w:bookmarkStart w:id="69" w:name="169"/>
      <w:bookmarkEnd w:id="68"/>
      <w:r w:rsidRPr="00186F49">
        <w:rPr>
          <w:rFonts w:ascii="Arial" w:eastAsia="Times New Roman" w:hAnsi="Arial" w:cs="Arial"/>
          <w:b/>
          <w:bCs/>
          <w:kern w:val="0"/>
          <w:szCs w:val="24"/>
          <w:lang w:eastAsia="es-ES"/>
        </w:rPr>
        <w:t> </w:t>
      </w:r>
      <w:bookmarkEnd w:id="69"/>
      <w:r w:rsidRPr="00186F49">
        <w:rPr>
          <w:rFonts w:ascii="Arial" w:eastAsia="Times New Roman" w:hAnsi="Arial" w:cs="Arial"/>
          <w:b/>
          <w:bCs/>
          <w:kern w:val="0"/>
          <w:szCs w:val="24"/>
          <w:lang w:eastAsia="es-ES"/>
        </w:rPr>
        <w:t>169.-Planes complementarios</w:t>
      </w:r>
      <w:r w:rsidRPr="00186F49">
        <w:rPr>
          <w:rFonts w:ascii="Arial" w:eastAsia="Times New Roman" w:hAnsi="Arial" w:cs="Arial"/>
          <w:kern w:val="0"/>
          <w:szCs w:val="24"/>
          <w:lang w:eastAsia="es-ES"/>
        </w:rPr>
        <w:t>. </w:t>
      </w:r>
      <w:hyperlink r:id="rId184" w:anchor="19" w:history="1">
        <w:r w:rsidRPr="00186F49">
          <w:rPr>
            <w:rFonts w:ascii="Arial" w:eastAsia="Times New Roman" w:hAnsi="Arial" w:cs="Arial"/>
            <w:color w:val="0000FF"/>
            <w:kern w:val="0"/>
            <w:szCs w:val="24"/>
            <w:u w:val="single"/>
            <w:lang w:eastAsia="es-ES"/>
          </w:rPr>
          <w:t>Sustituido por el art. 19, Decreto Nacional 131 de 2010</w:t>
        </w:r>
      </w:hyperlink>
      <w:r w:rsidRPr="00186F49">
        <w:rPr>
          <w:rFonts w:ascii="Arial" w:eastAsia="Times New Roman" w:hAnsi="Arial" w:cs="Arial"/>
          <w:kern w:val="0"/>
          <w:szCs w:val="24"/>
          <w:lang w:eastAsia="es-ES"/>
        </w:rPr>
        <w:t>. Las entidades promotoras de salud podrán ofrecer planes complementarios al plan de salud obligatorio de salud, que serán financiados en su totalidad por el afiliado con recursos distintos a las cotizaciones obligatorias previstas en el artículo 204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reajuste del valor de los planes estará sujeto a un régimen de libertad vigilada por parte del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185" w:anchor="0" w:history="1">
        <w:r w:rsidRPr="00186F49">
          <w:rPr>
            <w:rFonts w:ascii="Arial" w:eastAsia="Times New Roman" w:hAnsi="Arial" w:cs="Arial"/>
            <w:color w:val="0000FF"/>
            <w:kern w:val="0"/>
            <w:szCs w:val="24"/>
            <w:u w:val="single"/>
            <w:lang w:eastAsia="es-ES"/>
          </w:rPr>
          <w:t xml:space="preserve">Ver el Fallo del Tribunal </w:t>
        </w:r>
        <w:proofErr w:type="spellStart"/>
        <w:r w:rsidRPr="00186F49">
          <w:rPr>
            <w:rFonts w:ascii="Arial" w:eastAsia="Times New Roman" w:hAnsi="Arial" w:cs="Arial"/>
            <w:color w:val="0000FF"/>
            <w:kern w:val="0"/>
            <w:szCs w:val="24"/>
            <w:u w:val="single"/>
            <w:lang w:eastAsia="es-ES"/>
          </w:rPr>
          <w:t>Admin</w:t>
        </w:r>
        <w:proofErr w:type="spellEnd"/>
        <w:r w:rsidRPr="00186F49">
          <w:rPr>
            <w:rFonts w:ascii="Arial" w:eastAsia="Times New Roman" w:hAnsi="Arial" w:cs="Arial"/>
            <w:color w:val="0000FF"/>
            <w:kern w:val="0"/>
            <w:szCs w:val="24"/>
            <w:u w:val="single"/>
            <w:lang w:eastAsia="es-ES"/>
          </w:rPr>
          <w:t xml:space="preserve">. </w:t>
        </w:r>
        <w:proofErr w:type="gramStart"/>
        <w:r w:rsidRPr="00186F49">
          <w:rPr>
            <w:rFonts w:ascii="Arial" w:eastAsia="Times New Roman" w:hAnsi="Arial" w:cs="Arial"/>
            <w:color w:val="0000FF"/>
            <w:kern w:val="0"/>
            <w:szCs w:val="24"/>
            <w:u w:val="single"/>
            <w:lang w:eastAsia="es-ES"/>
          </w:rPr>
          <w:t>de</w:t>
        </w:r>
        <w:proofErr w:type="gramEnd"/>
        <w:r w:rsidRPr="00186F49">
          <w:rPr>
            <w:rFonts w:ascii="Arial" w:eastAsia="Times New Roman" w:hAnsi="Arial" w:cs="Arial"/>
            <w:color w:val="0000FF"/>
            <w:kern w:val="0"/>
            <w:szCs w:val="24"/>
            <w:u w:val="single"/>
            <w:lang w:eastAsia="es-ES"/>
          </w:rPr>
          <w:t xml:space="preserve"> C/marca. 031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la dirección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0" w:name="BM170"/>
      <w:r w:rsidRPr="00186F49">
        <w:rPr>
          <w:rFonts w:ascii="Arial" w:eastAsia="Times New Roman" w:hAnsi="Arial" w:cs="Arial"/>
          <w:b/>
          <w:bCs/>
          <w:kern w:val="0"/>
          <w:szCs w:val="24"/>
          <w:lang w:eastAsia="es-ES"/>
        </w:rPr>
        <w:t> </w:t>
      </w:r>
      <w:bookmarkEnd w:id="70"/>
      <w:r w:rsidRPr="00186F49">
        <w:rPr>
          <w:rFonts w:ascii="Arial" w:eastAsia="Times New Roman" w:hAnsi="Arial" w:cs="Arial"/>
          <w:b/>
          <w:bCs/>
          <w:kern w:val="0"/>
          <w:szCs w:val="24"/>
          <w:lang w:eastAsia="es-ES"/>
        </w:rPr>
        <w:t xml:space="preserve">170.- </w:t>
      </w:r>
      <w:r w:rsidRPr="00186F49">
        <w:rPr>
          <w:rFonts w:ascii="Arial" w:eastAsia="Times New Roman" w:hAnsi="Arial" w:cs="Arial"/>
          <w:kern w:val="0"/>
          <w:szCs w:val="24"/>
          <w:lang w:eastAsia="es-ES"/>
        </w:rPr>
        <w:t>Dirección del sistema.  </w:t>
      </w:r>
      <w:hyperlink r:id="rId186" w:anchor="119" w:history="1">
        <w:r w:rsidRPr="00186F49">
          <w:rPr>
            <w:rFonts w:ascii="Arial" w:eastAsia="Times New Roman" w:hAnsi="Arial" w:cs="Arial"/>
            <w:color w:val="0000FF"/>
            <w:kern w:val="0"/>
            <w:szCs w:val="24"/>
            <w:u w:val="single"/>
            <w:lang w:eastAsia="es-ES"/>
          </w:rPr>
          <w:t>Modificado por el art. 119, Decreto Ley 2150 de 1995</w:t>
        </w:r>
      </w:hyperlink>
      <w:r w:rsidRPr="00186F49">
        <w:rPr>
          <w:rFonts w:ascii="Arial" w:eastAsia="Times New Roman" w:hAnsi="Arial" w:cs="Arial"/>
          <w:kern w:val="0"/>
          <w:szCs w:val="24"/>
          <w:lang w:eastAsia="es-ES"/>
        </w:rPr>
        <w:t>. El sistema general de seguridad social en salud está bajo la orientación, regulación, supervisión, vigilancia y control del Gobierno Nacional y del Ministerio de Salud y atenderá las políticas, planes, programas y prioridades del gobierno en la lucha contra las enfermedades y en el mantenimiento y educación, información y fomento de la salud y la salud de conformidad con el plan de desarrollo económico y social y los planes territoriales de que tratan los artículos 13 y 14 de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171.-</w:t>
      </w:r>
      <w:r w:rsidRPr="00186F49">
        <w:rPr>
          <w:rFonts w:ascii="Arial" w:eastAsia="Times New Roman" w:hAnsi="Arial" w:cs="Arial"/>
          <w:kern w:val="0"/>
          <w:szCs w:val="24"/>
          <w:lang w:eastAsia="es-ES"/>
        </w:rPr>
        <w:t xml:space="preserve">El Consejo Nacional de Seguridad Social en Salud. </w:t>
      </w:r>
      <w:hyperlink r:id="rId187" w:anchor="3" w:history="1">
        <w:r w:rsidRPr="00186F49">
          <w:rPr>
            <w:rFonts w:ascii="Arial" w:eastAsia="Times New Roman" w:hAnsi="Arial" w:cs="Arial"/>
            <w:color w:val="0000FF"/>
            <w:kern w:val="0"/>
            <w:szCs w:val="24"/>
            <w:u w:val="single"/>
            <w:lang w:eastAsia="es-ES"/>
          </w:rPr>
          <w:t>Derogado por el art. 3, Ley 1122 de 2007, a partir de la entrada en funcionamiento de la Comisión de Regulación en Salud, CRES</w:t>
        </w:r>
      </w:hyperlink>
      <w:r w:rsidRPr="00186F49">
        <w:rPr>
          <w:rFonts w:ascii="Arial" w:eastAsia="Times New Roman" w:hAnsi="Arial" w:cs="Arial"/>
          <w:kern w:val="0"/>
          <w:szCs w:val="24"/>
          <w:lang w:eastAsia="es-ES"/>
        </w:rPr>
        <w:t>. Créase el consejo nacional de seguridad social en salud, adscrito al Ministerio de Salud, como organismo de dirección del sistema general de seguridad social en salud, de carácter permanente, conformado por: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El Ministro de Salud, quien lo presidirá.</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El Ministro de Trabajo y Seguridad Social, o su delegado.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El Ministro de Hacienda y Crédito Público, o su delegado.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Sendos representantes de las entidades departamentales y municipales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Dos (2) representantes de los empleadores, uno de los cuales representará la pequeña y mediana empresa y otras formas asociativas.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Dos (2) representantes por los trabajadores, uno de los cuales representará a los pensionados.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El representante legal del Instituto de los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Un (1) representante por las entidades promotoras de salud, diferentes del ISS.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9.  Un (1) representante de las instituciones prestadoras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10.  Un (1) representante de los profesionales del área de la salud, de la asociación mayoritaria.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11.  Un (1) representante de las asociaciones de usuarios de servicios de salud del sector rural.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 xml:space="preserve">El consejo tendrá un secretario técnico que será el director general de seguridad social del Ministerio de Salud, cargo que se creará para el </w:t>
      </w:r>
      <w:r w:rsidRPr="00186F49">
        <w:rPr>
          <w:rFonts w:ascii="Arial" w:eastAsia="Times New Roman" w:hAnsi="Arial" w:cs="Arial"/>
          <w:kern w:val="0"/>
          <w:szCs w:val="24"/>
          <w:lang w:eastAsia="es-ES"/>
        </w:rPr>
        <w:lastRenderedPageBreak/>
        <w:t>efecto, o quien haga sus veces. A través de esta secretaría se presentarán a consideración del consejo los estudios técnicos que se requieran para la toma de decisiones.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El gobierno reglamentará los mecanismos de selección de los representantes no gubernamentales entre sus organizaciones mayoritarias, así como su período.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Serán asesores permanentes del consejo un representante de la Academia Nacional de Medicina, uno de la Federación Médica Colombiana, uno de la Asociación Colombiana de Facultades de Medicina, uno de la Asociación Colombiana de Hospitales y otro en representación de las facultades de salud pública.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Los consejos territoriales tendrán, en lo posible, análoga composición del consejo nacional, pero con la participación de las entidades o asociaciones del orden departamental, distrital o municipal.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ARTICULO. </w:t>
      </w:r>
      <w:bookmarkStart w:id="71" w:name="BM172"/>
      <w:r w:rsidRPr="00186F49">
        <w:rPr>
          <w:rFonts w:ascii="Arial" w:eastAsia="Times New Roman" w:hAnsi="Arial" w:cs="Arial"/>
          <w:b/>
          <w:bCs/>
          <w:kern w:val="0"/>
          <w:szCs w:val="24"/>
          <w:lang w:eastAsia="es-ES"/>
        </w:rPr>
        <w:t> </w:t>
      </w:r>
      <w:bookmarkEnd w:id="71"/>
      <w:r w:rsidRPr="00186F49">
        <w:rPr>
          <w:rFonts w:ascii="Arial" w:eastAsia="Times New Roman" w:hAnsi="Arial" w:cs="Arial"/>
          <w:b/>
          <w:bCs/>
          <w:kern w:val="0"/>
          <w:szCs w:val="24"/>
          <w:lang w:eastAsia="es-ES"/>
        </w:rPr>
        <w:t>172.-Funciones del consejo nacional de seguridad social en salud.</w:t>
      </w:r>
      <w:r w:rsidRPr="00186F49">
        <w:rPr>
          <w:rFonts w:ascii="Arial" w:eastAsia="Times New Roman" w:hAnsi="Arial" w:cs="Arial"/>
          <w:kern w:val="0"/>
          <w:szCs w:val="24"/>
          <w:lang w:eastAsia="es-ES"/>
        </w:rPr>
        <w:t xml:space="preserve"> El consejo nacional de seguridad social en salud tendrá las siguientes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Definir el plan obligatorio de salud para los afiliados según las normas de los regímenes contributivo y subsidiado, de acuerdo con los criterios del capítulo tercero del primer título de este libro.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Definir el monto de la cotización de los afiliados del sistema, dentro de los límites previstos en el artículo 204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Definir el valor de la unidad de pago por capitación según lo dispuesto en el artículo 182 del presente libro.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Definir el valor por beneficiario del régimen de subsidios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Definir los medicamentos esenciales y genéricos que harán parte del plan obligatorio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Definir los criterios generales de selección de los beneficiarios del régimen subsidiado de salud por parte de las entidades territoriales, dando la debida prioridad a los grupos pobres y vulnerables y de conformidad con lo dispuesto en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Definir el régimen de pagos compartidos de que tratan el numeral 3º del artículo 160 y los artículos 164 y 187 de la presente ley. </w:t>
      </w:r>
      <w:hyperlink r:id="rId188" w:anchor="0" w:history="1">
        <w:r w:rsidRPr="00186F49">
          <w:rPr>
            <w:rFonts w:ascii="Arial" w:eastAsia="Times New Roman" w:hAnsi="Arial" w:cs="Arial"/>
            <w:color w:val="0000FF"/>
            <w:kern w:val="0"/>
            <w:szCs w:val="24"/>
            <w:u w:val="single"/>
            <w:lang w:eastAsia="es-ES"/>
          </w:rPr>
          <w:t>Ver el Acuerdo del C.N.S.S.S. 260 de 2004</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Definir el régimen que deberán aplicar las entidades promotoras de salud para el reconocimiento y pago de las incapacidades originadas en enfermedad general y de las licencias de maternidad a los afiliados según las normas del régimen contributivo.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9.  Definir las medidas necesarias para evitar la selección adversa de usuarios por parte de las entidades promotoras de salud y una distribución inequitativa de los costos de la atención de los distintos tipos de riesgo.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10.  Recomendar el régimen y los criterios que debe adoptar el Gobierno Nacional para establecer las tarifas de los servicios prestados por las entidades hospitalarias en los casos de riesgo catastrófico, accidentes de tránsito y atención inicial de urgencias.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11.  Reglamentar los consejos territoriales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12.  Ejercer las funciones del consejo de administración del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13.  Presentar ante las comisiones séptimas de Senado y Cámara, un informe anual sobre la evolución del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14.  Adoptar su propio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15.  Las demás que le sean asignadas por ley o que sean necesarias para el adecuado funcionamiento del consejo.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w:t>
      </w:r>
      <w:r w:rsidRPr="00186F49">
        <w:rPr>
          <w:rFonts w:ascii="Arial" w:eastAsia="Times New Roman" w:hAnsi="Arial" w:cs="Arial"/>
          <w:kern w:val="0"/>
          <w:szCs w:val="24"/>
          <w:lang w:eastAsia="es-ES"/>
        </w:rPr>
        <w:t xml:space="preserve">º- </w:t>
      </w:r>
      <w:hyperlink r:id="rId189" w:anchor="120" w:history="1">
        <w:r w:rsidRPr="00186F49">
          <w:rPr>
            <w:rFonts w:ascii="Arial" w:eastAsia="Times New Roman" w:hAnsi="Arial" w:cs="Arial"/>
            <w:color w:val="0000FF"/>
            <w:kern w:val="0"/>
            <w:szCs w:val="24"/>
            <w:u w:val="single"/>
            <w:lang w:eastAsia="es-ES"/>
          </w:rPr>
          <w:t>Modificado por el art. 120, Decreto Ley 2150 de 1995</w:t>
        </w:r>
      </w:hyperlink>
      <w:r w:rsidRPr="00186F49">
        <w:rPr>
          <w:rFonts w:ascii="Arial" w:eastAsia="Times New Roman" w:hAnsi="Arial" w:cs="Arial"/>
          <w:kern w:val="0"/>
          <w:szCs w:val="24"/>
          <w:lang w:eastAsia="es-ES"/>
        </w:rPr>
        <w:t>. Las decisiones anteriores que tengan implicaciones fiscales y sobre la calidad del servicio público de salud requerirán el concepto favorable del Ministro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El valor de pagos compartidos y de la unidad de pago por capitación, UPC, serán revisados, por lo menos una vez por año, antes de iniciar la siguientes vigencia fiscal. En caso que no se haya revisado la UPC al comenzar el año, ésta se ajustará en forma automática en una proporción igual al incremento porcentual del salario mínimo aprobado por el Gobierno Nacional el año inmediatamente anterior.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Las definiciones de que tratan los numerales 1º, 4º, 5º, 7º y 11 del presente artículo deberán ser adoptados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2" w:name="BM173"/>
      <w:r w:rsidRPr="00186F49">
        <w:rPr>
          <w:rFonts w:ascii="Arial" w:eastAsia="Times New Roman" w:hAnsi="Arial" w:cs="Arial"/>
          <w:b/>
          <w:bCs/>
          <w:kern w:val="0"/>
          <w:szCs w:val="24"/>
          <w:lang w:eastAsia="es-ES"/>
        </w:rPr>
        <w:t> </w:t>
      </w:r>
      <w:bookmarkEnd w:id="72"/>
      <w:r w:rsidRPr="00186F49">
        <w:rPr>
          <w:rFonts w:ascii="Arial" w:eastAsia="Times New Roman" w:hAnsi="Arial" w:cs="Arial"/>
          <w:b/>
          <w:bCs/>
          <w:kern w:val="0"/>
          <w:szCs w:val="24"/>
          <w:lang w:eastAsia="es-ES"/>
        </w:rPr>
        <w:t>173.-De las funciones del Ministerio de Salud.</w:t>
      </w:r>
      <w:r w:rsidRPr="00186F49">
        <w:rPr>
          <w:rFonts w:ascii="Arial" w:eastAsia="Times New Roman" w:hAnsi="Arial" w:cs="Arial"/>
          <w:kern w:val="0"/>
          <w:szCs w:val="24"/>
          <w:lang w:eastAsia="es-ES"/>
        </w:rPr>
        <w:t xml:space="preserve"> Son funciones del Ministerio de Salud, además de las consagradas en las disposiciones legales vigentes, especialmente la Ley 10 de 1990, el Decreto-Ley 2164 de 1992 y la Ley 60 de 1993, las siguientes: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Formular y adoptar, en coordinación con el Ministerio de Trabajo y Seguridad Social, las políticas, estrategias, programas y proyectos para el sistema general de seguridad social en salud, de acuerdo con los planes y programas de desarrollo económico, social y ambiental que apruebe el Congreso de la República.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2.  Dictar las normas científicas que regulan la calidad de los servicios y el control de los factores de riesgo, que son de obligatorio cumplimiento por todas las entidades promotoras de salud y por las instituciones prestadoras de </w:t>
      </w:r>
      <w:r w:rsidRPr="00186F49">
        <w:rPr>
          <w:rFonts w:ascii="Arial" w:eastAsia="Times New Roman" w:hAnsi="Arial" w:cs="Arial"/>
          <w:kern w:val="0"/>
          <w:szCs w:val="24"/>
          <w:lang w:eastAsia="es-ES"/>
        </w:rPr>
        <w:lastRenderedPageBreak/>
        <w:t>servicios de salud del sistema general de seguridad social en salud y por las direcciones seccionales, distritales y locales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Expedir las normas administrativas de obligatorio cumplimiento para las entidades promotoras de salud, por las instituciones prestadoras de servicios de salud del sistema general de seguridad social en salud y por las direcciones seccionales, distritales y locales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Formular y aplicar los criterios de evaluación de la eficiencia en la gestión de las entidades promotoras de salud y por las instituciones prestadoras de servicios de salud del sistema general de seguridad social en salud y por las direcciones seccionales, distritales y locales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Elaborar los estudios y propuestas que requiera el consejo nacional de seguridad social en salud en el ejercicio de sus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6.  Ejercer la adecuada supervisión, vigilancia y control de todas las entidades comprendidas en los literales b) a h) del artículo 181 de la presente ley y de </w:t>
      </w:r>
      <w:proofErr w:type="gramStart"/>
      <w:r w:rsidRPr="00186F49">
        <w:rPr>
          <w:rFonts w:ascii="Arial" w:eastAsia="Times New Roman" w:hAnsi="Arial" w:cs="Arial"/>
          <w:kern w:val="0"/>
          <w:szCs w:val="24"/>
          <w:lang w:eastAsia="es-ES"/>
        </w:rPr>
        <w:t>las direcciones seccional</w:t>
      </w:r>
      <w:proofErr w:type="gramEnd"/>
      <w:r w:rsidRPr="00186F49">
        <w:rPr>
          <w:rFonts w:ascii="Arial" w:eastAsia="Times New Roman" w:hAnsi="Arial" w:cs="Arial"/>
          <w:kern w:val="0"/>
          <w:szCs w:val="24"/>
          <w:lang w:eastAsia="es-ES"/>
        </w:rPr>
        <w:t>, distrital y local de salud, excepto la Superintendencia Nacional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El Ministerio de Salud reglamentará la recolección, transferencia y difusión de la información en el subsistema al que concurren obligatoriamente todos los integrantes del sistema de seguridad social de salud independientemente de su naturaleza jurídica sin perjuicio de las normas legales que regulan la reserva y exhibición de los libros de comercio. La inobservancia de este reglamento será sancionada hasta con la revocatoria de las autorizaciones de funcionamiento.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-Las funciones de </w:t>
      </w:r>
      <w:proofErr w:type="spellStart"/>
      <w:r w:rsidRPr="00186F49">
        <w:rPr>
          <w:rFonts w:ascii="Arial" w:eastAsia="Times New Roman" w:hAnsi="Arial" w:cs="Arial"/>
          <w:kern w:val="0"/>
          <w:szCs w:val="24"/>
          <w:lang w:eastAsia="es-ES"/>
        </w:rPr>
        <w:t>que</w:t>
      </w:r>
      <w:proofErr w:type="spellEnd"/>
      <w:r w:rsidRPr="00186F49">
        <w:rPr>
          <w:rFonts w:ascii="Arial" w:eastAsia="Times New Roman" w:hAnsi="Arial" w:cs="Arial"/>
          <w:kern w:val="0"/>
          <w:szCs w:val="24"/>
          <w:lang w:eastAsia="es-ES"/>
        </w:rPr>
        <w:t xml:space="preserve"> trata el presente artículo sustituyen las que corresponden al artículo </w:t>
      </w:r>
      <w:hyperlink r:id="rId190" w:anchor="9" w:history="1">
        <w:r w:rsidRPr="00186F49">
          <w:rPr>
            <w:rFonts w:ascii="Arial" w:eastAsia="Times New Roman" w:hAnsi="Arial" w:cs="Arial"/>
            <w:color w:val="0000FF"/>
            <w:kern w:val="0"/>
            <w:szCs w:val="24"/>
            <w:u w:val="single"/>
            <w:lang w:eastAsia="es-ES"/>
          </w:rPr>
          <w:t>9º</w:t>
        </w:r>
      </w:hyperlink>
      <w:r w:rsidRPr="00186F49">
        <w:rPr>
          <w:rFonts w:ascii="Arial" w:eastAsia="Times New Roman" w:hAnsi="Arial" w:cs="Arial"/>
          <w:kern w:val="0"/>
          <w:szCs w:val="24"/>
          <w:lang w:eastAsia="es-ES"/>
        </w:rPr>
        <w:t xml:space="preserve"> de la Ley 10 de 1990, en </w:t>
      </w:r>
      <w:proofErr w:type="gramStart"/>
      <w:r w:rsidRPr="00186F49">
        <w:rPr>
          <w:rFonts w:ascii="Arial" w:eastAsia="Times New Roman" w:hAnsi="Arial" w:cs="Arial"/>
          <w:kern w:val="0"/>
          <w:szCs w:val="24"/>
          <w:lang w:eastAsia="es-ES"/>
        </w:rPr>
        <w:t>los</w:t>
      </w:r>
      <w:proofErr w:type="gramEnd"/>
      <w:r w:rsidRPr="00186F49">
        <w:rPr>
          <w:rFonts w:ascii="Arial" w:eastAsia="Times New Roman" w:hAnsi="Arial" w:cs="Arial"/>
          <w:kern w:val="0"/>
          <w:szCs w:val="24"/>
          <w:lang w:eastAsia="es-ES"/>
        </w:rPr>
        <w:t xml:space="preserve"> literales a), b), e), j).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174.-El sistema general de seguridad social en salud a nivel territorial.</w:t>
      </w:r>
      <w:r w:rsidRPr="00186F49">
        <w:rPr>
          <w:rFonts w:ascii="Arial" w:eastAsia="Times New Roman" w:hAnsi="Arial" w:cs="Arial"/>
          <w:kern w:val="0"/>
          <w:szCs w:val="24"/>
          <w:lang w:eastAsia="es-ES"/>
        </w:rPr>
        <w:t xml:space="preserve"> El sistema general de seguridad social en salud integra, en todos los niveles territoriales, las instituciones de dirección, las entidades de promoción y prestación de servicios de salud, así como el conjunto de acciones de salud y control de los factores de riesgo en su respectiva jurisdicción y ámbito de competencia.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De conformidad con las disposiciones legales vigentes, y en especial la Ley 10 de 1990 y la Ley 60 de 1993, corresponde a los departamentos, distritos y municipios, funciones de dirección y organización de los servicios de salud para garantizar la salud pública y la oferta de servicios de salud por instituciones públicas, por contratación de servicios o por el otorgamiento de subsidios a la demanda.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Para el ejercicio de sus competencias, las entidades territoriales se sujetarán, a partir de la vigencia de esta ley, al servicio público de salud aquí regulado, que precisa y desarrolla los términos, condiciones principios y reglas de operación de las competencias territoriales de que trata la Ley 60 de 1993 y la Ley 10 de </w:t>
      </w:r>
      <w:r w:rsidRPr="00186F49">
        <w:rPr>
          <w:rFonts w:ascii="Arial" w:eastAsia="Times New Roman" w:hAnsi="Arial" w:cs="Arial"/>
          <w:kern w:val="0"/>
          <w:szCs w:val="24"/>
          <w:lang w:eastAsia="es-ES"/>
        </w:rPr>
        <w:lastRenderedPageBreak/>
        <w:t>1990. En desarrollo de lo anterior, la estructura actual de los servicios de salud del subsector oficial en las entidades territoriales se adaptará e integrará progresivamente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sistema general de seguridad social en salud que crea esta ley amplía la órbita de competencia de los sistemas de dirección en salud de los departamentos, distritos y municipios para garantizar la función social del Estado en la adecuada prestación y ampliación de coberturas de los servicios de salud. Las direcciones de salud en los entes territoriales organizarán, de acuerdo con las disposiciones de la presente ley, el sistema de subsidios a la población más pobre y vulnerable, realizando contratos para la atención de los afiliados de salud con las entidades promotoras de salud que funcionen en su territorio y promoviendo la creación de empresas solidarias de salud. Así mismo, apoyarán la creación de entidades públicas promotoras de salud y la transformación, de acuerdo con lo dispuesto en esta ley, de los hospitales en instituciones prestadoras de servicios con capacidad de ofrecer servicios a las diferentes entidades promotoras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oferta pública de servicios de salud, organizada por niveles de complejidad y por niveles territoriales, contribuye a la realización de los propósitos del sistema general de seguridad social en salud, a su organización y a su adecuado funcionamiento.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el sistema general de seguridad social en salud los recursos de destinación especial para la salud que arbitre cualquiera de los niveles de gobierno en los términos de la presente ley concurren a la financiación de los subsidios para la población más pobre y vulnerable de cada entidad territorial.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-Durante el período de transición requerido para lograr la cobertura universal de seguridad social en salud, los hospitales públicos y aquellos privados con quienes exista contrato para ello continuarán prestando servicios a las personas pobres y vulnerables que no estén afiliados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175.-Consejos territoriales de seguridad social en salud</w:t>
      </w:r>
      <w:r w:rsidRPr="00186F49">
        <w:rPr>
          <w:rFonts w:ascii="Arial" w:eastAsia="Times New Roman" w:hAnsi="Arial" w:cs="Arial"/>
          <w:kern w:val="0"/>
          <w:szCs w:val="24"/>
          <w:lang w:eastAsia="es-ES"/>
        </w:rPr>
        <w:t>. Las entidades territoriales de los niveles seccional, distrital y local, podrán crear un consejo territorial de seguridad social en salud que asesore a las direcciones de salud de la respectiva jurisdicción, en la formulación de los planes, estrategias, programas y proyectos de salud y en la orientación de los sistemas territoriales de seguridad social en salud, que desarrollen las políticas definidas por 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176.-</w:t>
      </w:r>
      <w:r w:rsidRPr="00186F49">
        <w:rPr>
          <w:rFonts w:ascii="Arial" w:eastAsia="Times New Roman" w:hAnsi="Arial" w:cs="Arial"/>
          <w:kern w:val="0"/>
          <w:szCs w:val="24"/>
          <w:lang w:eastAsia="es-ES"/>
        </w:rPr>
        <w:t xml:space="preserve">De las funciones de la dirección seccional, distrital y municipal del sistema de salud. </w:t>
      </w:r>
      <w:proofErr w:type="gramStart"/>
      <w:r w:rsidRPr="00186F49">
        <w:rPr>
          <w:rFonts w:ascii="Arial" w:eastAsia="Times New Roman" w:hAnsi="Arial" w:cs="Arial"/>
          <w:kern w:val="0"/>
          <w:szCs w:val="24"/>
          <w:lang w:eastAsia="es-ES"/>
        </w:rPr>
        <w:t>Las direcciones seccional</w:t>
      </w:r>
      <w:proofErr w:type="gramEnd"/>
      <w:r w:rsidRPr="00186F49">
        <w:rPr>
          <w:rFonts w:ascii="Arial" w:eastAsia="Times New Roman" w:hAnsi="Arial" w:cs="Arial"/>
          <w:kern w:val="0"/>
          <w:szCs w:val="24"/>
          <w:lang w:eastAsia="es-ES"/>
        </w:rPr>
        <w:t>, distrital y municipal de salud, además de las funciones previstas en las Leyes 10 de 1990 y 60 de 1993 tendrán las siguientes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Preparar los estudios y propuestas que requiera el consejo territorial de seguridad social de salud en el ejercicio de sus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2.  Preparar para consideración del consejo territorial de seguridad social en salud los instrumentos y metodologías de focalización de los beneficiarios del régimen subsidiado en el área de su jurisdicción y orientar su puesta en marcha.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Administrar los recursos del subsidio para la población más pobre y vulnerable en los términos previstos en la presente ley, con los controles previstos en el numeral 7º del artículo 153.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La inspección y vigilancia de la aplicación de las normas técnicas, científicas, administrativas y financieras que expida el Ministerio de Salud, sin perjuicio de las funciones de inspección y vigilancia atribuidas a las demás autoridades competentes.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5.  Velar por el cumplimiento de las normas sobre pasivo </w:t>
      </w:r>
      <w:proofErr w:type="spellStart"/>
      <w:r w:rsidRPr="00186F49">
        <w:rPr>
          <w:rFonts w:ascii="Arial" w:eastAsia="Times New Roman" w:hAnsi="Arial" w:cs="Arial"/>
          <w:kern w:val="0"/>
          <w:szCs w:val="24"/>
          <w:lang w:eastAsia="es-ES"/>
        </w:rPr>
        <w:t>prestacional</w:t>
      </w:r>
      <w:proofErr w:type="spellEnd"/>
      <w:r w:rsidRPr="00186F49">
        <w:rPr>
          <w:rFonts w:ascii="Arial" w:eastAsia="Times New Roman" w:hAnsi="Arial" w:cs="Arial"/>
          <w:kern w:val="0"/>
          <w:szCs w:val="24"/>
          <w:lang w:eastAsia="es-ES"/>
        </w:rPr>
        <w:t xml:space="preserve"> de los trabajadores de la salud en su respectiva jurisdicción.</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La organización del sistema general de seguridad social en salud</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las entidades promotoras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177.-Definición</w:t>
      </w:r>
      <w:r w:rsidRPr="00186F49">
        <w:rPr>
          <w:rFonts w:ascii="Arial" w:eastAsia="Times New Roman" w:hAnsi="Arial" w:cs="Arial"/>
          <w:kern w:val="0"/>
          <w:szCs w:val="24"/>
          <w:lang w:eastAsia="es-ES"/>
        </w:rPr>
        <w:t>. Las entidades promotoras de salud son las entidades responsables de la afiliación, y el registro de los afiliados y del recaudo de sus cotizaciones, por delegación del fondo de solidaridad y garantía. Su función básica será organizar y garantizar, directa o indirectamente, la prestación del plan de salud obligatorio a los afiliados y girar, dentro de los términos previstos en la presente ley, la diferencia entre los ingresos por cotizaciones de sus afiliados y el valor de las correspondientes unidades de pago por capitación al fondo de solidaridad y garantía, de que trata el título III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3" w:name="178"/>
      <w:r w:rsidRPr="00186F49">
        <w:rPr>
          <w:rFonts w:ascii="Arial" w:eastAsia="Times New Roman" w:hAnsi="Arial" w:cs="Arial"/>
          <w:b/>
          <w:bCs/>
          <w:kern w:val="0"/>
          <w:szCs w:val="24"/>
          <w:lang w:eastAsia="es-ES"/>
        </w:rPr>
        <w:t> </w:t>
      </w:r>
      <w:bookmarkEnd w:id="73"/>
      <w:r w:rsidRPr="00186F49">
        <w:rPr>
          <w:rFonts w:ascii="Arial" w:eastAsia="Times New Roman" w:hAnsi="Arial" w:cs="Arial"/>
          <w:b/>
          <w:bCs/>
          <w:kern w:val="0"/>
          <w:szCs w:val="24"/>
          <w:lang w:eastAsia="es-ES"/>
        </w:rPr>
        <w:t>178.-Funciones de las entidades promotoras de salud</w:t>
      </w:r>
      <w:r w:rsidRPr="00186F49">
        <w:rPr>
          <w:rFonts w:ascii="Arial" w:eastAsia="Times New Roman" w:hAnsi="Arial" w:cs="Arial"/>
          <w:kern w:val="0"/>
          <w:szCs w:val="24"/>
          <w:lang w:eastAsia="es-ES"/>
        </w:rPr>
        <w:t>. Las entidades promotoras de salud tendrán las siguientes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w:t>
      </w:r>
      <w:hyperlink r:id="rId191" w:anchor="43" w:history="1">
        <w:r w:rsidRPr="00186F49">
          <w:rPr>
            <w:rFonts w:ascii="Arial" w:eastAsia="Times New Roman" w:hAnsi="Arial" w:cs="Arial"/>
            <w:color w:val="0000FF"/>
            <w:kern w:val="0"/>
            <w:szCs w:val="24"/>
            <w:u w:val="single"/>
            <w:lang w:eastAsia="es-ES"/>
          </w:rPr>
          <w:t>Modificado por el art. 43, Decreto Nacional 131 de 2010</w:t>
        </w:r>
      </w:hyperlink>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El Decreto 131 de 2010 fue declarado INEXEQUIBLE por la Corte Constitucional, mediante Sentencia</w:t>
      </w:r>
      <w:r w:rsidRPr="00186F49">
        <w:rPr>
          <w:rFonts w:ascii="Arial" w:eastAsia="Times New Roman" w:hAnsi="Arial" w:cs="Arial"/>
          <w:kern w:val="0"/>
          <w:szCs w:val="24"/>
          <w:lang w:eastAsia="es-ES"/>
        </w:rPr>
        <w:t xml:space="preserve"> C-289 </w:t>
      </w:r>
      <w:r w:rsidRPr="00186F49">
        <w:rPr>
          <w:rFonts w:ascii="Arial" w:eastAsia="Times New Roman" w:hAnsi="Arial" w:cs="Arial"/>
          <w:b/>
          <w:bCs/>
          <w:kern w:val="0"/>
          <w:szCs w:val="24"/>
          <w:lang w:eastAsia="es-ES"/>
        </w:rPr>
        <w:t>de 2010</w:t>
      </w:r>
      <w:r w:rsidRPr="00186F49">
        <w:rPr>
          <w:rFonts w:ascii="Arial" w:eastAsia="Times New Roman" w:hAnsi="Arial" w:cs="Arial"/>
          <w:kern w:val="0"/>
          <w:szCs w:val="24"/>
          <w:lang w:eastAsia="es-ES"/>
        </w:rPr>
        <w:t>. Ser delegatarias del fondo de solidaridad y garantía para la captación de los aportes de los afiliados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Promover la afiliación de grupos de población no cubiertos actualmente por la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3.  Organizar la forma y mecanismos a través de los cuales los afiliados y sus familias puedan acceder a los servicios de salud en todo el territorio nacional. </w:t>
      </w:r>
      <w:r w:rsidRPr="00186F49">
        <w:rPr>
          <w:rFonts w:ascii="Arial" w:eastAsia="Times New Roman" w:hAnsi="Arial" w:cs="Arial"/>
          <w:kern w:val="0"/>
          <w:szCs w:val="24"/>
          <w:lang w:eastAsia="es-ES"/>
        </w:rPr>
        <w:lastRenderedPageBreak/>
        <w:t>Las empresas promotoras de salud tienen la obligación de aceptar a toda persona que solicite afiliación y cumpla con los requisitos de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Definir procedimientos para garantizar el libre acceso de los afiliados y sus familias, a las instituciones prestadoras con las cuales haya establecido convenios o contratos en su área de influencia o en cualquier lugar del territorio nacional, en caso de enfermedad del afiliado y su familia.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74" w:name="BM178_5"/>
      <w:r w:rsidRPr="00186F49">
        <w:rPr>
          <w:rFonts w:ascii="Arial" w:eastAsia="Times New Roman" w:hAnsi="Arial" w:cs="Arial"/>
          <w:kern w:val="0"/>
          <w:szCs w:val="24"/>
          <w:lang w:eastAsia="es-ES"/>
        </w:rPr>
        <w:t> </w:t>
      </w:r>
      <w:bookmarkEnd w:id="74"/>
      <w:r w:rsidRPr="00186F49">
        <w:rPr>
          <w:rFonts w:ascii="Arial" w:eastAsia="Times New Roman" w:hAnsi="Arial" w:cs="Arial"/>
          <w:kern w:val="0"/>
          <w:szCs w:val="24"/>
          <w:lang w:eastAsia="es-ES"/>
        </w:rPr>
        <w:t>5.  Remitir al fondo de solidaridad y compensación la información relativa a la afiliación del trabajador y su familia, a las novedades laborales, a los recaudos por cotizaciones y a los desembolsos por el pago de la prestación de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Establecer procedimientos para controlar la atención integral, eficiente, oportuna y de calidad en los servicios prestados por las instituciones prestadoras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w:t>
      </w:r>
      <w:hyperlink r:id="rId192" w:anchor="43" w:history="1">
        <w:r w:rsidRPr="00186F49">
          <w:rPr>
            <w:rFonts w:ascii="Arial" w:eastAsia="Times New Roman" w:hAnsi="Arial" w:cs="Arial"/>
            <w:color w:val="0000FF"/>
            <w:kern w:val="0"/>
            <w:szCs w:val="24"/>
            <w:u w:val="single"/>
            <w:lang w:eastAsia="es-ES"/>
          </w:rPr>
          <w:t>Modificado por el art. 43, Decreto Nacional 131 de 2010</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El Decreto 131 de 2010 fue declarado INEXEQUIBLE por la Corte Constitucional, mediante Sentencia</w:t>
      </w:r>
      <w:r w:rsidRPr="00186F49">
        <w:rPr>
          <w:rFonts w:ascii="Arial" w:eastAsia="Times New Roman" w:hAnsi="Arial" w:cs="Arial"/>
          <w:kern w:val="0"/>
          <w:szCs w:val="24"/>
          <w:lang w:eastAsia="es-ES"/>
        </w:rPr>
        <w:t xml:space="preserve"> C-289 </w:t>
      </w:r>
      <w:r w:rsidRPr="00186F49">
        <w:rPr>
          <w:rFonts w:ascii="Arial" w:eastAsia="Times New Roman" w:hAnsi="Arial" w:cs="Arial"/>
          <w:b/>
          <w:bCs/>
          <w:kern w:val="0"/>
          <w:szCs w:val="24"/>
          <w:lang w:eastAsia="es-ES"/>
        </w:rPr>
        <w:t>de 2010</w:t>
      </w:r>
      <w:r w:rsidRPr="00186F49">
        <w:rPr>
          <w:rFonts w:ascii="Arial" w:eastAsia="Times New Roman" w:hAnsi="Arial" w:cs="Arial"/>
          <w:kern w:val="0"/>
          <w:szCs w:val="24"/>
          <w:lang w:eastAsia="es-ES"/>
        </w:rPr>
        <w:t>. Las demás que determine 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179.-Campo de acción de las entidades promotoras de salud.</w:t>
      </w:r>
      <w:r w:rsidRPr="00186F49">
        <w:rPr>
          <w:rFonts w:ascii="Arial" w:eastAsia="Times New Roman" w:hAnsi="Arial" w:cs="Arial"/>
          <w:kern w:val="0"/>
          <w:szCs w:val="24"/>
          <w:lang w:eastAsia="es-ES"/>
        </w:rPr>
        <w:t xml:space="preserve"> Para garantizar el plan de salud obligatorio a sus afiliados, las entidades promotoras de salud prestarán directamente o contratarán los servicios de salud con las instituciones prestadoras y los profesionales. Para racionalizar la demanda por servicios, las entidades promotoras de salud podrán adoptar modalidades de contratación y pago tales como capitación, protocolos o presupuestos globales fijos, de tal manera que incentiven las actividades de promoción y prevención y el control de costos. Cada entidad promotora deberá ofrecer a sus afiliados varias alternativas de instituciones prestadoras de salud, salvo cuando la restricción de oferta lo impida, de conformidad con el reglamento que para el efecto expida 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Las entidades promotoras de salud buscarán mecanismos de agrupamiento de riesgo entre sus afiliados, entre empresas, agremiaciones o asociaciones, o por asentamientos geográficos, de acuerdo con la reglamentación que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180.-Requisitos de las entidades promotoras de salud</w:t>
      </w:r>
      <w:r w:rsidRPr="00186F49">
        <w:rPr>
          <w:rFonts w:ascii="Arial" w:eastAsia="Times New Roman" w:hAnsi="Arial" w:cs="Arial"/>
          <w:kern w:val="0"/>
          <w:szCs w:val="24"/>
          <w:lang w:eastAsia="es-ES"/>
        </w:rPr>
        <w:t>. La Superintendencia Nacional de Salud autorizará como entidades promotoras de salud a entidades de naturaleza pública, privada o mixta, que cumplan con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Tener una razón social que la identifique y que exprese su naturaleza de ser entidad promotora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Tener personería jurídica reconocida por el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3.  Tener como objetivos la afiliación y registro de la población al sistema general de seguridad social en salud, el recaudo de las cotizaciones y la promoción, gestión, coordinación, y control de los servicios de salud de las instituciones prestadoras de servicios con las cuales atienda los afiliados y su familia, sin perjuicio de los controles consagrados sobre el particular en la Constitución y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Disponer de una organización administrativa y financiera que permita: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Tener una base de datos que permita mantener información sobre las características socioeconómicas y del estado de salud de sus afiliados y sus familias;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Acreditar la capacidad técnica y científica necesaria para el correcto desempleo de sus funciones, y verificar la de las instituciones y profesionales prestadores de los servicios,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Evaluar sistemáticamente la calidad de los servicios ofrecidos.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Acreditar periódicamente un número mínimo y máximo de afiliados tal que se obtengan escalas viables de operación y se logre la afiliación de personas de todos los estratos sociales y de los diferentes grupos de riesgo. Tales parámetros serán fijados por el Gobierno Nacional en función de la búsqueda de la equidad y de los recursos técnicos y financieros de que dispongan las entidades promotoras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Acreditar periódicamente el margen de solvencia que asegure la liquidez y solvencia de la entidad promotora de salud, que será fijado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Tener un capital social o fondo social mínimo que garantice la viabilidad económica y financiera de la entidad, determinados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Las demás que establezca la ley y el reglamento, previa consideración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Gobierno Nacional expedirá las normas que se requieran para el fiel cumplimiento de lo dispuesto en el presente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181.-Tipos de entidades promotoras de salud</w:t>
      </w:r>
      <w:r w:rsidRPr="00186F49">
        <w:rPr>
          <w:rFonts w:ascii="Arial" w:eastAsia="Times New Roman" w:hAnsi="Arial" w:cs="Arial"/>
          <w:kern w:val="0"/>
          <w:szCs w:val="24"/>
          <w:lang w:eastAsia="es-ES"/>
        </w:rPr>
        <w:t>. La Superintendencia Nacional de Salud podrá autorizar como entidades promotoras de salud, siempre que para ello cumplan con los requisitos previstos en el artículo 180, a las siguientes entidades: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El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Las cajas, fondos entidades o empresas de previsión y seguridad social del sector público, sin perjuicio de lo dispuesto en el artículo 236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c)  Las entidades que por efecto de la asociación o convenio entre las cajas de compensación familiar o la existencia previa de un programa especial patrocinado individualmente por ellas se constituyan para tal fin;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d)  Las entidades que ofrezcan programas de medicina </w:t>
      </w:r>
      <w:proofErr w:type="spellStart"/>
      <w:r w:rsidRPr="00186F49">
        <w:rPr>
          <w:rFonts w:ascii="Arial" w:eastAsia="Times New Roman" w:hAnsi="Arial" w:cs="Arial"/>
          <w:kern w:val="0"/>
          <w:szCs w:val="24"/>
          <w:lang w:eastAsia="es-ES"/>
        </w:rPr>
        <w:t>prepagada</w:t>
      </w:r>
      <w:proofErr w:type="spellEnd"/>
      <w:r w:rsidRPr="00186F49">
        <w:rPr>
          <w:rFonts w:ascii="Arial" w:eastAsia="Times New Roman" w:hAnsi="Arial" w:cs="Arial"/>
          <w:kern w:val="0"/>
          <w:szCs w:val="24"/>
          <w:lang w:eastAsia="es-ES"/>
        </w:rPr>
        <w:t xml:space="preserve"> o de seguros de salud, cualquiera sea su naturaleza jurídica;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Las entidades promotoras de salud que puedan crear los departamentos, distritos y municipios y sus asociaciones. Para ello podrán también asociarse con entidades hospitalarias públicas y privadas;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f)  Los organismos que hayan sido organizados por empresas públicas o privadas para prestar servicios de salud a sus trabajadores con anterioridad a la vigencia de la presente ley, siempre que se constituyan como personas jurídicas independientes;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g)  Las organizaciones no gubernamentales y del sector social solidario que se organicen para tal fin, especialmente las empresas solidarias de salud, y las de las comunidades indígenas,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h)  Las entidades privadas, solidarias o públicas que se creen con el propósito específico de funcionar como entidad promotora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Cuando una institución prestadora de servicios de salud sea de propiedad de una entidad promotora de salud, la primera tendrá autonomía técnica, financiera y administrativa dentro de un régimen de delegación o vinculación que garantice un servicio más eficiente. Tal autonomía se establecerá de una manera gradual y progresiva, en los términos en que lo establezca el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Corresponde al Ministerio de Salud y a las direcciones seccionales y locales de salud la promoción de entidades promotoras de salud donde los usuarios tengan mayor participación y control, tales como las empresas solidarias de salud, las cooperativas y las microempresas médicas.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Las empresas que presten los servicios de salud en la forma prevista por el literal f) podrán reemplazarlo, contratando dichos servicios con las entidades promotoras de salud adscritas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182.-</w:t>
      </w:r>
      <w:r w:rsidRPr="00186F49">
        <w:rPr>
          <w:rFonts w:ascii="Arial" w:eastAsia="Times New Roman" w:hAnsi="Arial" w:cs="Arial"/>
          <w:kern w:val="0"/>
          <w:szCs w:val="24"/>
          <w:lang w:eastAsia="es-ES"/>
        </w:rPr>
        <w:t>De los ingresos de las entidades promotoras de salud. Las cotizaciones que recauden las entidades promotoras de salud pertenecen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Por la organización y garantía de la prestación de los servicios incluidos en el plan de salud obligatorio para cada afiliado, el sistema general de seguridad social en salud reconocerá a cada entidad promotora de salud un valor per cápita, que se denominará unidad de pago por capitación, UPC. Esta unidad se establecerá en función del perfil epidemiológico de la población relevante, de los riesgos cubiertos y de los costos de prestación del servicio en condiciones </w:t>
      </w:r>
      <w:r w:rsidRPr="00186F49">
        <w:rPr>
          <w:rFonts w:ascii="Arial" w:eastAsia="Times New Roman" w:hAnsi="Arial" w:cs="Arial"/>
          <w:kern w:val="0"/>
          <w:szCs w:val="24"/>
          <w:lang w:eastAsia="es-ES"/>
        </w:rPr>
        <w:lastRenderedPageBreak/>
        <w:t>medias de calidad, tecnología y hotelería, y será definida por el consejo nacional de seguridad social en salud, de acuerdo con los estudios técnicos del Ministerio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Las entidades promotoras de salud manejarán los recursos de la seguridad social originados en las cotizaciones de los afiliados al sistema de cuentas independientes del resto de rentas y bienes de la entidad.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w:t>
      </w:r>
      <w:hyperlink r:id="rId193" w:anchor="1" w:history="1">
        <w:r w:rsidRPr="00186F49">
          <w:rPr>
            <w:rFonts w:ascii="Arial" w:eastAsia="Times New Roman" w:hAnsi="Arial" w:cs="Arial"/>
            <w:color w:val="0000FF"/>
            <w:kern w:val="0"/>
            <w:szCs w:val="24"/>
            <w:u w:val="single"/>
            <w:lang w:eastAsia="es-ES"/>
          </w:rPr>
          <w:t>Declarado Exequible Sentencia Corte Constitucional 130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183.-Prohibiciones para las entidades promotoras de salud.</w:t>
      </w:r>
      <w:r w:rsidRPr="00186F49">
        <w:rPr>
          <w:rFonts w:ascii="Arial" w:eastAsia="Times New Roman" w:hAnsi="Arial" w:cs="Arial"/>
          <w:kern w:val="0"/>
          <w:szCs w:val="24"/>
          <w:lang w:eastAsia="es-ES"/>
        </w:rPr>
        <w:t xml:space="preserve"> Las entidades promotoras de salud no podrán, en forma unilateral, terminar la relación contractual con sus afiliados, ni podrán negar la afiliación a quien desee ingresar al régimen, siempre y cuando garantice el pago de la cotización o del subsidio correspondiente, salvo los casos excepcionales por abuso o mala fe del usuario, de acuerdo con la reglamentación que para el efecto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Gobierno Nacional podrá reglamentar parámetros de eficiencia y fijar el régimen de inversión y organización de las empresas promotoras de salud que no sean prestadoras de servicios. Cuando presten simultáneamente servicios, podrá establecer límites por concepto de gastos administrativos y operativos de la actividad de promoción.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Están prohibidos todos los acuerdos o convenios, así como las prácticas y decisiones concertadas que, directa o indirectamente, tengan por objeto impedir, restringir o falsear el juego de la libre escogencia dentro del sistema general de la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184.-De los incentivos para un mejor servicio</w:t>
      </w:r>
      <w:r w:rsidRPr="00186F49">
        <w:rPr>
          <w:rFonts w:ascii="Arial" w:eastAsia="Times New Roman" w:hAnsi="Arial" w:cs="Arial"/>
          <w:kern w:val="0"/>
          <w:szCs w:val="24"/>
          <w:lang w:eastAsia="es-ES"/>
        </w:rPr>
        <w:t xml:space="preserve">. Con el fin de obtener calidad y eficiencia en la provisión de los servicios de salud contemplados por la ley, se aplicarán sistemas de incentivos a la oferta de servicios dirigidos al control de costos, al aumento de productividad y a la asignación de recursos utilizando criterios de costo-eficiencia. De la misma manera, se aplicarán sistemas de incentivos a la demanda con el fin de racionalizar el sistema de referencia y </w:t>
      </w:r>
      <w:proofErr w:type="spellStart"/>
      <w:r w:rsidRPr="00186F49">
        <w:rPr>
          <w:rFonts w:ascii="Arial" w:eastAsia="Times New Roman" w:hAnsi="Arial" w:cs="Arial"/>
          <w:kern w:val="0"/>
          <w:szCs w:val="24"/>
          <w:lang w:eastAsia="es-ES"/>
        </w:rPr>
        <w:t>contrarreferencia</w:t>
      </w:r>
      <w:proofErr w:type="spellEnd"/>
      <w:r w:rsidRPr="00186F49">
        <w:rPr>
          <w:rFonts w:ascii="Arial" w:eastAsia="Times New Roman" w:hAnsi="Arial" w:cs="Arial"/>
          <w:kern w:val="0"/>
          <w:szCs w:val="24"/>
          <w:lang w:eastAsia="es-ES"/>
        </w:rPr>
        <w:t xml:space="preserve"> de pacientes, ampliar el conocimiento y manejo del sistema de parte de los beneficiarios y promover un servicio de mayor calidad al usuario.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las instituciones prestadoras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185.-Instituciones prestadoras de servicios de salud</w:t>
      </w:r>
      <w:r w:rsidRPr="00186F49">
        <w:rPr>
          <w:rFonts w:ascii="Arial" w:eastAsia="Times New Roman" w:hAnsi="Arial" w:cs="Arial"/>
          <w:kern w:val="0"/>
          <w:szCs w:val="24"/>
          <w:lang w:eastAsia="es-ES"/>
        </w:rPr>
        <w:t>. Son funciones de las instituciones prestadoras de servicios de salud prestar los servicios en su nivel de atención correspondiente a los afiliados y beneficiarios dentro de los parámetros y principios señalados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instituciones prestadoras de servicios deben tener como principios básicos la calidad y la eficiencia, y tendrán autonomía administrativa, técnica y </w:t>
      </w:r>
      <w:r w:rsidRPr="00186F49">
        <w:rPr>
          <w:rFonts w:ascii="Arial" w:eastAsia="Times New Roman" w:hAnsi="Arial" w:cs="Arial"/>
          <w:kern w:val="0"/>
          <w:szCs w:val="24"/>
          <w:lang w:eastAsia="es-ES"/>
        </w:rPr>
        <w:lastRenderedPageBreak/>
        <w:t>financiera. Además propenderán por la libre concurrencia en sus acciones, proveyendo información oportuna, suficiente y veraz a los usuarios, y evitando el abuso de posición dominante en el sistema. Están prohibidos todos los acuerdos o convenios entre instituciones prestadoras de servicios de salud, entre asociaciones o sociedades científicas, y de profesionales o auxiliares del sector salud, o al interior de cualquiera de los anteriores, que tengan por objeto o efecto impedir, restringir o falsear el juego de la libre competencia dentro del mercado de servicios de salud, o impedir, restringir o interrumpir la prestación de los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que una entidad pueda constituirse como institución prestadora de servicios de salud deberá cumplir con los requisitos contemplados en las normas expedidas por el Ministerio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-Toda institución prestadora de servicios de salud contará con un sistema contable que permita registrar los costos de los servicios ofrecidos. Es condición para la aplicación del régimen único de tarifas de que trata el artículo 241 de la presente ley, adoptar dicho sistema contable. Esta disposición deberá acatarse a más tardar al finalizar el primer año de vigencia de la presente ley. A partir de esta fecha será de obligatorio cumplimiento para contratar servicios con las entidades promotoras de salud o con las entidades territoriales, según el caso, acreditar la existencia de dicho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186.-Del sistema de acreditación</w:t>
      </w:r>
      <w:r w:rsidRPr="00186F49">
        <w:rPr>
          <w:rFonts w:ascii="Arial" w:eastAsia="Times New Roman" w:hAnsi="Arial" w:cs="Arial"/>
          <w:kern w:val="0"/>
          <w:szCs w:val="24"/>
          <w:lang w:eastAsia="es-ES"/>
        </w:rPr>
        <w:t>. El Gobierno Nacional propiciará la conformación de un sistema de acreditación de las instituciones prestadoras de servicios de salud, para brindar información a los usuarios sobre su calidad, y promover su mejoramiento.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5" w:name="BM187"/>
      <w:r w:rsidRPr="00186F49">
        <w:rPr>
          <w:rFonts w:ascii="Arial" w:eastAsia="Times New Roman" w:hAnsi="Arial" w:cs="Arial"/>
          <w:b/>
          <w:bCs/>
          <w:kern w:val="0"/>
          <w:szCs w:val="24"/>
          <w:lang w:eastAsia="es-ES"/>
        </w:rPr>
        <w:t> </w:t>
      </w:r>
      <w:bookmarkStart w:id="76" w:name="187"/>
      <w:bookmarkEnd w:id="75"/>
      <w:r w:rsidRPr="00186F49">
        <w:rPr>
          <w:rFonts w:ascii="Arial" w:eastAsia="Times New Roman" w:hAnsi="Arial" w:cs="Arial"/>
          <w:b/>
          <w:bCs/>
          <w:kern w:val="0"/>
          <w:szCs w:val="24"/>
          <w:lang w:eastAsia="es-ES"/>
        </w:rPr>
        <w:t> </w:t>
      </w:r>
      <w:bookmarkEnd w:id="76"/>
      <w:r w:rsidRPr="00186F49">
        <w:rPr>
          <w:rFonts w:ascii="Arial" w:eastAsia="Times New Roman" w:hAnsi="Arial" w:cs="Arial"/>
          <w:b/>
          <w:bCs/>
          <w:kern w:val="0"/>
          <w:szCs w:val="24"/>
          <w:lang w:eastAsia="es-ES"/>
        </w:rPr>
        <w:t>187.-De los pagos moderadores</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Artículo declarado CONDICIONALMENTE EXEQUIBLE por la Corte Constitucional, mediante Sentencia</w:t>
      </w:r>
      <w:r w:rsidRPr="00186F49">
        <w:rPr>
          <w:rFonts w:ascii="Arial" w:eastAsia="Times New Roman" w:hAnsi="Arial" w:cs="Arial"/>
          <w:kern w:val="0"/>
          <w:szCs w:val="24"/>
          <w:lang w:eastAsia="es-ES"/>
        </w:rPr>
        <w:t xml:space="preserve"> C-542 </w:t>
      </w:r>
      <w:r w:rsidRPr="00186F49">
        <w:rPr>
          <w:rFonts w:ascii="Arial" w:eastAsia="Times New Roman" w:hAnsi="Arial" w:cs="Arial"/>
          <w:b/>
          <w:bCs/>
          <w:kern w:val="0"/>
          <w:szCs w:val="24"/>
          <w:lang w:eastAsia="es-ES"/>
        </w:rPr>
        <w:t>de 1998</w:t>
      </w:r>
      <w:r w:rsidRPr="00186F49">
        <w:rPr>
          <w:rFonts w:ascii="Arial" w:eastAsia="Times New Roman" w:hAnsi="Arial" w:cs="Arial"/>
          <w:kern w:val="0"/>
          <w:szCs w:val="24"/>
          <w:lang w:eastAsia="es-ES"/>
        </w:rPr>
        <w:t>. Los afiliados y beneficiarios del sistema general de seguridad social en salud estarán sujetos a pagos compartidos, cuotas moderadoras y deducibles. Para los afiliados cotizantes, estos pagos se aplicarán con el exclusivo objetivo de racionalizar el uso de servicios del sistema. En el caso de los demás beneficiarios, los pagos mencionados se aplicarán también para complementar la financiación del plan obligatorio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ningún caso los pagos moderadores podrán convertirse en barreras de acceso para los más pobres. Para evitar la generación de restricciones al acceso por parte de la población más pobre, tales pagos para los diferentes servicios serán definidos de acuerdo con la estratificación socioeconómica </w:t>
      </w:r>
      <w:r w:rsidRPr="00186F49">
        <w:rPr>
          <w:rFonts w:ascii="Arial" w:eastAsia="Times New Roman" w:hAnsi="Arial" w:cs="Arial"/>
          <w:kern w:val="0"/>
          <w:szCs w:val="24"/>
          <w:u w:val="single"/>
          <w:lang w:eastAsia="es-ES"/>
        </w:rPr>
        <w:t>y la antigüedad de afiliación en el sistema</w:t>
      </w:r>
      <w:r w:rsidRPr="00186F49">
        <w:rPr>
          <w:rFonts w:ascii="Arial" w:eastAsia="Times New Roman" w:hAnsi="Arial" w:cs="Arial"/>
          <w:kern w:val="0"/>
          <w:szCs w:val="24"/>
          <w:lang w:eastAsia="es-ES"/>
        </w:rPr>
        <w:t>, según la reglamentación que adopte el Gobierno Nacional, previo concepto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Aparte subrayado declarado INEXEQUIBLE por la Corte Constitucional, mediante Sentencia</w:t>
      </w:r>
      <w:r w:rsidRPr="00186F49">
        <w:rPr>
          <w:rFonts w:ascii="Arial" w:eastAsia="Times New Roman" w:hAnsi="Arial" w:cs="Arial"/>
          <w:kern w:val="0"/>
          <w:szCs w:val="24"/>
          <w:lang w:eastAsia="es-ES"/>
        </w:rPr>
        <w:t xml:space="preserve"> C-542 </w:t>
      </w:r>
      <w:r w:rsidRPr="00186F49">
        <w:rPr>
          <w:rFonts w:ascii="Arial" w:eastAsia="Times New Roman" w:hAnsi="Arial" w:cs="Arial"/>
          <w:b/>
          <w:bCs/>
          <w:kern w:val="0"/>
          <w:szCs w:val="24"/>
          <w:lang w:eastAsia="es-ES"/>
        </w:rPr>
        <w:t>de 1998</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Los recaudos por estos conceptos serán recursos de las entidades promotoras de salud, aunque el consejo nacional de seguridad social en salud podrá destinar parte de ellos a la subcuenta de promoción de salud del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Las normas sobre procedimientos de recaudo, definición del nivel </w:t>
      </w:r>
      <w:proofErr w:type="spellStart"/>
      <w:r w:rsidRPr="00186F49">
        <w:rPr>
          <w:rFonts w:ascii="Arial" w:eastAsia="Times New Roman" w:hAnsi="Arial" w:cs="Arial"/>
          <w:kern w:val="0"/>
          <w:szCs w:val="24"/>
          <w:lang w:eastAsia="es-ES"/>
        </w:rPr>
        <w:t>socieconómico</w:t>
      </w:r>
      <w:proofErr w:type="spellEnd"/>
      <w:r w:rsidRPr="00186F49">
        <w:rPr>
          <w:rFonts w:ascii="Arial" w:eastAsia="Times New Roman" w:hAnsi="Arial" w:cs="Arial"/>
          <w:kern w:val="0"/>
          <w:szCs w:val="24"/>
          <w:lang w:eastAsia="es-ES"/>
        </w:rPr>
        <w:t xml:space="preserve"> de los usuarios y los servicios a los que serán aplicables, entre otros, serán definidos por el Gobierno Nacional, previa aprobación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w:t>
      </w:r>
      <w:hyperlink r:id="rId194" w:anchor="0" w:history="1">
        <w:r w:rsidRPr="00186F49">
          <w:rPr>
            <w:rFonts w:ascii="Arial" w:eastAsia="Times New Roman" w:hAnsi="Arial" w:cs="Arial"/>
            <w:color w:val="0000FF"/>
            <w:kern w:val="0"/>
            <w:szCs w:val="24"/>
            <w:u w:val="single"/>
            <w:lang w:eastAsia="es-ES"/>
          </w:rPr>
          <w:t>Ver el Acuerdo del C.N.S.S.S. 260 de 2004</w:t>
        </w:r>
      </w:hyperlink>
      <w:r w:rsidRPr="00186F49">
        <w:rPr>
          <w:rFonts w:ascii="Arial" w:eastAsia="Times New Roman" w:hAnsi="Arial" w:cs="Arial"/>
          <w:kern w:val="0"/>
          <w:szCs w:val="24"/>
          <w:lang w:eastAsia="es-ES"/>
        </w:rPr>
        <w:t xml:space="preserve">, </w:t>
      </w:r>
      <w:hyperlink r:id="rId195" w:anchor="17" w:history="1">
        <w:r w:rsidRPr="00186F49">
          <w:rPr>
            <w:rFonts w:ascii="Arial" w:eastAsia="Times New Roman" w:hAnsi="Arial" w:cs="Arial"/>
            <w:color w:val="0000FF"/>
            <w:kern w:val="0"/>
            <w:szCs w:val="24"/>
            <w:u w:val="single"/>
            <w:lang w:eastAsia="es-ES"/>
          </w:rPr>
          <w:t>Ver el art. 17, Decreto Nacional 131 de 2010</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7" w:name="BM188"/>
      <w:r w:rsidRPr="00186F49">
        <w:rPr>
          <w:rFonts w:ascii="Arial" w:eastAsia="Times New Roman" w:hAnsi="Arial" w:cs="Arial"/>
          <w:b/>
          <w:bCs/>
          <w:kern w:val="0"/>
          <w:szCs w:val="24"/>
          <w:lang w:eastAsia="es-ES"/>
        </w:rPr>
        <w:t> </w:t>
      </w:r>
      <w:bookmarkStart w:id="78" w:name="188"/>
      <w:bookmarkEnd w:id="77"/>
      <w:r w:rsidRPr="00186F49">
        <w:rPr>
          <w:rFonts w:ascii="Arial" w:eastAsia="Times New Roman" w:hAnsi="Arial" w:cs="Arial"/>
          <w:b/>
          <w:bCs/>
          <w:kern w:val="0"/>
          <w:szCs w:val="24"/>
          <w:lang w:eastAsia="es-ES"/>
        </w:rPr>
        <w:t> </w:t>
      </w:r>
      <w:bookmarkEnd w:id="78"/>
      <w:r w:rsidRPr="00186F49">
        <w:rPr>
          <w:rFonts w:ascii="Arial" w:eastAsia="Times New Roman" w:hAnsi="Arial" w:cs="Arial"/>
          <w:b/>
          <w:bCs/>
          <w:kern w:val="0"/>
          <w:szCs w:val="24"/>
          <w:lang w:eastAsia="es-ES"/>
        </w:rPr>
        <w:t>188.</w:t>
      </w:r>
      <w:r w:rsidRPr="00186F49">
        <w:rPr>
          <w:rFonts w:ascii="Arial" w:eastAsia="Times New Roman" w:hAnsi="Arial" w:cs="Arial"/>
          <w:kern w:val="0"/>
          <w:szCs w:val="24"/>
          <w:lang w:eastAsia="es-ES"/>
        </w:rPr>
        <w:t xml:space="preserve"> - Garantía de atención a los usuarios.  </w:t>
      </w:r>
      <w:hyperlink r:id="rId196" w:anchor="121" w:history="1">
        <w:r w:rsidRPr="00186F49">
          <w:rPr>
            <w:rFonts w:ascii="Arial" w:eastAsia="Times New Roman" w:hAnsi="Arial" w:cs="Arial"/>
            <w:color w:val="0000FF"/>
            <w:kern w:val="0"/>
            <w:szCs w:val="24"/>
            <w:u w:val="single"/>
            <w:lang w:eastAsia="es-ES"/>
          </w:rPr>
          <w:t>Modificado por el art. 121, Decreto Ley 2150 de 1995</w:t>
        </w:r>
      </w:hyperlink>
      <w:r w:rsidRPr="00186F49">
        <w:rPr>
          <w:rFonts w:ascii="Arial" w:eastAsia="Times New Roman" w:hAnsi="Arial" w:cs="Arial"/>
          <w:kern w:val="0"/>
          <w:szCs w:val="24"/>
          <w:lang w:eastAsia="es-ES"/>
        </w:rPr>
        <w:t>. </w:t>
      </w:r>
      <w:hyperlink r:id="rId197" w:anchor="21" w:history="1">
        <w:r w:rsidRPr="00186F49">
          <w:rPr>
            <w:rFonts w:ascii="Arial" w:eastAsia="Times New Roman" w:hAnsi="Arial" w:cs="Arial"/>
            <w:color w:val="0000FF"/>
            <w:kern w:val="0"/>
            <w:szCs w:val="24"/>
            <w:u w:val="single"/>
            <w:lang w:eastAsia="es-ES"/>
          </w:rPr>
          <w:t>Derogado por el art. 21, Decreto Nacional 128 de 2010</w:t>
        </w:r>
      </w:hyperlink>
      <w:r w:rsidRPr="00186F49">
        <w:rPr>
          <w:rFonts w:ascii="Arial" w:eastAsia="Times New Roman" w:hAnsi="Arial" w:cs="Arial"/>
          <w:b/>
          <w:bCs/>
          <w:kern w:val="0"/>
          <w:szCs w:val="24"/>
          <w:lang w:eastAsia="es-ES"/>
        </w:rPr>
        <w:t>, seis meses después de su entrada en vigencia</w:t>
      </w:r>
      <w:r w:rsidRPr="00186F49">
        <w:rPr>
          <w:rFonts w:ascii="Arial" w:eastAsia="Times New Roman" w:hAnsi="Arial" w:cs="Arial"/>
          <w:kern w:val="0"/>
          <w:szCs w:val="24"/>
          <w:lang w:eastAsia="es-ES"/>
        </w:rPr>
        <w:t>. Las instituciones prestadoras de servicios no podrán discriminar en su atención a los usuarios.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ocurran hechos de naturaleza asistencial que presuntamente afecten al afiliado respecto de la adecuada prestación de los servicios del sistema general de seguridad social en salud, éstos podrán solicitar reclamación ante el comité técnico-científico que designará la entidad de salud a la cual esté afiliado. En caso de inconformidad, podrá solicitar un nuevo concepto por parte de un comité similar que designará la dirección seccional de salud de la respectiva entidad territorial en donde está afiliado. El Gobierno Nacional reglamentará la materia.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189. -Mantenimiento hospitalario</w:t>
      </w:r>
      <w:r w:rsidRPr="00186F49">
        <w:rPr>
          <w:rFonts w:ascii="Arial" w:eastAsia="Times New Roman" w:hAnsi="Arial" w:cs="Arial"/>
          <w:kern w:val="0"/>
          <w:szCs w:val="24"/>
          <w:lang w:eastAsia="es-ES"/>
        </w:rPr>
        <w:t>. Los hospitales públicos y los privados en los cuales el valor de los contratos suscritos con la Nación o las entidades territoriales representen más del treinta por ciento (30%) de sus ingresos totales deberán destinar como mínimo el 5% del total de su presupuesto a las actividades de mantenimiento de la infraestructura y la dotación hospitalaria.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190. -Evaluación tecnológica.</w:t>
      </w:r>
      <w:r w:rsidRPr="00186F49">
        <w:rPr>
          <w:rFonts w:ascii="Arial" w:eastAsia="Times New Roman" w:hAnsi="Arial" w:cs="Arial"/>
          <w:kern w:val="0"/>
          <w:szCs w:val="24"/>
          <w:lang w:eastAsia="es-ES"/>
        </w:rPr>
        <w:t xml:space="preserve"> El Ministerio de Salud establecerá las normas que regirán la importación de tecnologías biomédicas y definirá aquéllas cuya importación será controlada. Igualmente reglamentará el desarrollo de programas de alta tecnología, de acuerdo con planes nacionales para la atención de las patologías.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normas que se establezcan incluirán, entre otras, metodologías y procedimientos de evaluación técnica y económica así como aquéllas que permitan determinar su más eficiente localización geográfica. Las normas serán aplicables tanto en el sector público como en el privado.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191. -De las prioridades de dotación hospitalaria.</w:t>
      </w:r>
      <w:r w:rsidRPr="00186F49">
        <w:rPr>
          <w:rFonts w:ascii="Arial" w:eastAsia="Times New Roman" w:hAnsi="Arial" w:cs="Arial"/>
          <w:kern w:val="0"/>
          <w:szCs w:val="24"/>
          <w:lang w:eastAsia="es-ES"/>
        </w:rPr>
        <w:t xml:space="preserve"> Los municipios darán prioridad en su asignación de recursos de inversión para la salud al fortalecimiento del sistema de centros y puestos de salud, de forma tal que se fortalezca la dotación básica de equipo y de personal que defina el Ministerio de Salud y amplíe, progresivamente y de acuerdo con la demanda, </w:t>
      </w:r>
      <w:r w:rsidRPr="00186F49">
        <w:rPr>
          <w:rFonts w:ascii="Arial" w:eastAsia="Times New Roman" w:hAnsi="Arial" w:cs="Arial"/>
          <w:kern w:val="0"/>
          <w:szCs w:val="24"/>
          <w:lang w:eastAsia="es-ES"/>
        </w:rPr>
        <w:lastRenderedPageBreak/>
        <w:t>sus horarios de atención al público, hasta llegar a tener disponibilidad las 24 horas de centros de salud bien dotados. El servicio social obligatorio de los profesionales del área de la salud se desempeñará prioritariamente en la atención de los centros y puestos de salud del área rural.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requerimientos de dotación que tendrán los puestos, centros de salud y los hospitales oficiales de cualquier nivel de atención, así como la red de servicios a nivel territorial serán establecidos por el Ministerio de Salud. El ministerio ejercerá el control técnico sobre la dotación de tales entidades, directamente o a través de una autoridad delegada.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79" w:name="BM192"/>
      <w:r w:rsidRPr="00186F49">
        <w:rPr>
          <w:rFonts w:ascii="Arial" w:eastAsia="Times New Roman" w:hAnsi="Arial" w:cs="Arial"/>
          <w:b/>
          <w:bCs/>
          <w:kern w:val="0"/>
          <w:szCs w:val="24"/>
          <w:lang w:eastAsia="es-ES"/>
        </w:rPr>
        <w:t> </w:t>
      </w:r>
      <w:bookmarkEnd w:id="79"/>
      <w:r w:rsidRPr="00186F49">
        <w:rPr>
          <w:rFonts w:ascii="Arial" w:eastAsia="Times New Roman" w:hAnsi="Arial" w:cs="Arial"/>
          <w:b/>
          <w:bCs/>
          <w:kern w:val="0"/>
          <w:szCs w:val="24"/>
          <w:lang w:eastAsia="es-ES"/>
        </w:rPr>
        <w:t>192.-Dirección de los hospitales públicos</w:t>
      </w:r>
      <w:r w:rsidRPr="00186F49">
        <w:rPr>
          <w:rFonts w:ascii="Arial" w:eastAsia="Times New Roman" w:hAnsi="Arial" w:cs="Arial"/>
          <w:kern w:val="0"/>
          <w:szCs w:val="24"/>
          <w:lang w:eastAsia="es-ES"/>
        </w:rPr>
        <w:t>.  </w:t>
      </w:r>
      <w:hyperlink r:id="rId198" w:anchor="0" w:history="1">
        <w:r w:rsidRPr="00186F49">
          <w:rPr>
            <w:rFonts w:ascii="Arial" w:eastAsia="Times New Roman" w:hAnsi="Arial" w:cs="Arial"/>
            <w:color w:val="0000FF"/>
            <w:kern w:val="0"/>
            <w:szCs w:val="24"/>
            <w:u w:val="single"/>
            <w:lang w:eastAsia="es-ES"/>
          </w:rPr>
          <w:t>Reglamentado Parcialmente por el Decreto Nacional 3344 de 2003</w:t>
        </w:r>
      </w:hyperlink>
      <w:r w:rsidRPr="00186F49">
        <w:rPr>
          <w:rFonts w:ascii="Arial" w:eastAsia="Times New Roman" w:hAnsi="Arial" w:cs="Arial"/>
          <w:kern w:val="0"/>
          <w:szCs w:val="24"/>
          <w:lang w:eastAsia="es-ES"/>
        </w:rPr>
        <w:t>.  </w:t>
      </w:r>
      <w:hyperlink r:id="rId199" w:anchor="0" w:history="1">
        <w:r w:rsidRPr="00186F49">
          <w:rPr>
            <w:rFonts w:ascii="Arial" w:eastAsia="Times New Roman" w:hAnsi="Arial" w:cs="Arial"/>
            <w:color w:val="0000FF"/>
            <w:kern w:val="0"/>
            <w:szCs w:val="24"/>
            <w:u w:val="single"/>
            <w:lang w:eastAsia="es-ES"/>
          </w:rPr>
          <w:t>Reglamentado por el Decreto Nacional 536 de 2004</w:t>
        </w:r>
      </w:hyperlink>
      <w:r w:rsidRPr="00186F49">
        <w:rPr>
          <w:rFonts w:ascii="Arial" w:eastAsia="Times New Roman" w:hAnsi="Arial" w:cs="Arial"/>
          <w:kern w:val="0"/>
          <w:szCs w:val="24"/>
          <w:lang w:eastAsia="es-ES"/>
        </w:rPr>
        <w:t xml:space="preserve">. Los directores de los hospitales públicos de cualquier nivel de complejidad, serán nombrados por el jefe de la respectiva entidad territorial que haya asumido los servicios de salud, conforme a lo dispuesto en la Ley 60 de 1993 y a la reglamentación que al efecto expida el Gobierno Nacional, de terna que le presente la junta directiva, constituida según las disposiciones de la Ley 10 de 1990, por períodos mínimo de tres (3) años prorrogables. Sólo podrán ser removidos cuando se demuestre, ante las autoridades competentes, la comisión de faltas graves conforme al régimen disciplinario del sector oficial, faltas a la ética, según las disposiciones vigentes o ineficiencia administrativa </w:t>
      </w:r>
      <w:r w:rsidRPr="00186F49">
        <w:rPr>
          <w:rFonts w:ascii="Arial" w:eastAsia="Times New Roman" w:hAnsi="Arial" w:cs="Arial"/>
          <w:kern w:val="0"/>
          <w:szCs w:val="24"/>
          <w:u w:val="single"/>
          <w:lang w:eastAsia="es-ES"/>
        </w:rPr>
        <w:t>definidas mediante reglamento del Gobierno Nacional</w:t>
      </w:r>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Texto subrayado declarado INEXEQUIBLE por la Corte Constitucional mediante</w:t>
      </w:r>
      <w:r w:rsidRPr="00186F49">
        <w:rPr>
          <w:rFonts w:ascii="Arial" w:eastAsia="Times New Roman" w:hAnsi="Arial" w:cs="Arial"/>
          <w:kern w:val="0"/>
          <w:szCs w:val="24"/>
          <w:lang w:eastAsia="es-ES"/>
        </w:rPr>
        <w:t xml:space="preserve"> </w:t>
      </w:r>
      <w:hyperlink r:id="rId200" w:anchor="0" w:history="1">
        <w:r w:rsidRPr="00186F49">
          <w:rPr>
            <w:rFonts w:ascii="Arial" w:eastAsia="Times New Roman" w:hAnsi="Arial" w:cs="Arial"/>
            <w:color w:val="0000FF"/>
            <w:kern w:val="0"/>
            <w:szCs w:val="24"/>
            <w:u w:val="single"/>
            <w:lang w:eastAsia="es-ES"/>
          </w:rPr>
          <w:t>Sentencia C-665 de 2000</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PARARAFO. 1º-</w:t>
      </w:r>
      <w:r w:rsidRPr="00186F49">
        <w:rPr>
          <w:rFonts w:ascii="Arial" w:eastAsia="Times New Roman" w:hAnsi="Arial" w:cs="Arial"/>
          <w:kern w:val="0"/>
          <w:szCs w:val="24"/>
          <w:lang w:eastAsia="es-ES"/>
        </w:rPr>
        <w:t>Esta norma entrará en vigencia a partir del 31 de marzo de 1995.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Los directores de hospitales del sector público o de las empresas sociales del Estado se regirán en materia salarial por un régimen especial que reglamentará el Gobierno Nacional dentro de los seis meses siguientes a la vigencia de la presente ley, teniendo en cuenta el nivel de complejidad y el presupuesto del respectivo hospital.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80" w:name="BM193"/>
      <w:r w:rsidRPr="00186F49">
        <w:rPr>
          <w:rFonts w:ascii="Arial" w:eastAsia="Times New Roman" w:hAnsi="Arial" w:cs="Arial"/>
          <w:b/>
          <w:bCs/>
          <w:kern w:val="0"/>
          <w:szCs w:val="24"/>
          <w:lang w:eastAsia="es-ES"/>
        </w:rPr>
        <w:t> </w:t>
      </w:r>
      <w:bookmarkEnd w:id="80"/>
      <w:r w:rsidRPr="00186F49">
        <w:rPr>
          <w:rFonts w:ascii="Arial" w:eastAsia="Times New Roman" w:hAnsi="Arial" w:cs="Arial"/>
          <w:b/>
          <w:bCs/>
          <w:kern w:val="0"/>
          <w:szCs w:val="24"/>
          <w:lang w:eastAsia="es-ES"/>
        </w:rPr>
        <w:t>193.-Incentivos a los trabajadores y profesionales de la salud.</w:t>
      </w:r>
      <w:r w:rsidRPr="00186F49">
        <w:rPr>
          <w:rFonts w:ascii="Arial" w:eastAsia="Times New Roman" w:hAnsi="Arial" w:cs="Arial"/>
          <w:kern w:val="0"/>
          <w:szCs w:val="24"/>
          <w:lang w:eastAsia="es-ES"/>
        </w:rPr>
        <w:t>  </w:t>
      </w:r>
      <w:hyperlink r:id="rId201" w:anchor="0" w:history="1">
        <w:r w:rsidRPr="00186F49">
          <w:rPr>
            <w:rFonts w:ascii="Arial" w:eastAsia="Times New Roman" w:hAnsi="Arial" w:cs="Arial"/>
            <w:color w:val="0000FF"/>
            <w:kern w:val="0"/>
            <w:szCs w:val="24"/>
            <w:u w:val="single"/>
            <w:lang w:eastAsia="es-ES"/>
          </w:rPr>
          <w:t>Reglamentado por el Decreto Nacional 439 de 1995</w:t>
        </w:r>
      </w:hyperlink>
      <w:r w:rsidRPr="00186F49">
        <w:rPr>
          <w:rFonts w:ascii="Arial" w:eastAsia="Times New Roman" w:hAnsi="Arial" w:cs="Arial"/>
          <w:kern w:val="0"/>
          <w:szCs w:val="24"/>
          <w:lang w:eastAsia="es-ES"/>
        </w:rPr>
        <w:t>. Con el fin de estimular el eficiente desempeño de los trabajadores y profesionales de la salud y su localización en las regiones con mayores necesidades, el gobierno podrá establecer un régimen de estímulos salariales y no salariales, los cuales en ningún caso constituirán salario. También podrá establecer estímulos de educación continua, crédito para instalación, equipos, vivienda y transporte. Igualmente, las entidades promotoras de salud auspiciarán las prácticas de grupo y otras formas de asociación solidaria de profesionales de la salud. El consejo nacional de seguridad social en salud determinará las zonas en las cuales se aplicará lo dispuesto en el presente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los empleados públicos de la salud del orden territorial, el Gobierno Nacional establecerá un régimen salarial especial y un programa gradual de nivelación de salarios entre las diferentes entidades.</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r w:rsidRPr="00186F49">
        <w:rPr>
          <w:rFonts w:ascii="Arial" w:eastAsia="Times New Roman" w:hAnsi="Arial" w:cs="Arial"/>
          <w:kern w:val="0"/>
          <w:szCs w:val="24"/>
          <w:lang w:eastAsia="es-ES"/>
        </w:rPr>
        <w:lastRenderedPageBreak/>
        <w:t xml:space="preserve">El régimen salarial especial comprenderá </w:t>
      </w:r>
      <w:r w:rsidRPr="00186F49">
        <w:rPr>
          <w:rFonts w:ascii="Arial" w:eastAsia="Times New Roman" w:hAnsi="Arial" w:cs="Arial"/>
          <w:kern w:val="0"/>
          <w:szCs w:val="24"/>
          <w:u w:val="single"/>
          <w:lang w:eastAsia="es-ES"/>
        </w:rPr>
        <w:t xml:space="preserve">la estructura y denominación de las categorías de empleo, los criterios de valoración de los empleos y </w:t>
      </w:r>
      <w:r w:rsidRPr="00186F49">
        <w:rPr>
          <w:rFonts w:ascii="Arial" w:eastAsia="Times New Roman" w:hAnsi="Arial" w:cs="Arial"/>
          <w:kern w:val="0"/>
          <w:szCs w:val="24"/>
          <w:lang w:eastAsia="es-ES"/>
        </w:rPr>
        <w:t xml:space="preserve">los rangos salariales mínimo y máximos correspondientes a las diferentes categorías para los niveles administrativos, o grupos de empleados que considere el Gobierno </w:t>
      </w:r>
      <w:proofErr w:type="spellStart"/>
      <w:r w:rsidRPr="00186F49">
        <w:rPr>
          <w:rFonts w:ascii="Arial" w:eastAsia="Times New Roman" w:hAnsi="Arial" w:cs="Arial"/>
          <w:kern w:val="0"/>
          <w:szCs w:val="24"/>
          <w:lang w:eastAsia="es-ES"/>
        </w:rPr>
        <w:t>Nacional.</w:t>
      </w:r>
      <w:r w:rsidRPr="00186F49">
        <w:rPr>
          <w:rFonts w:ascii="Arial" w:eastAsia="Times New Roman" w:hAnsi="Arial" w:cs="Arial"/>
          <w:b/>
          <w:bCs/>
          <w:kern w:val="0"/>
          <w:szCs w:val="24"/>
          <w:lang w:eastAsia="es-ES"/>
        </w:rPr>
        <w:t>El</w:t>
      </w:r>
      <w:proofErr w:type="spellEnd"/>
      <w:r w:rsidRPr="00186F49">
        <w:rPr>
          <w:rFonts w:ascii="Arial" w:eastAsia="Times New Roman" w:hAnsi="Arial" w:cs="Arial"/>
          <w:b/>
          <w:bCs/>
          <w:kern w:val="0"/>
          <w:szCs w:val="24"/>
          <w:lang w:eastAsia="es-ES"/>
        </w:rPr>
        <w:t xml:space="preserve"> texto subrayado fue declarado INEXEQUIBLE por la Corte Constitucional en </w:t>
      </w:r>
      <w:hyperlink r:id="rId202" w:anchor="0" w:history="1">
        <w:r w:rsidRPr="00186F49">
          <w:rPr>
            <w:rFonts w:ascii="Arial" w:eastAsia="Times New Roman" w:hAnsi="Arial" w:cs="Arial"/>
            <w:color w:val="0000FF"/>
            <w:kern w:val="0"/>
            <w:szCs w:val="24"/>
            <w:u w:val="single"/>
            <w:lang w:eastAsia="es-ES"/>
          </w:rPr>
          <w:t>Sentencia C-54 de 1998</w:t>
        </w:r>
      </w:hyperlink>
      <w:r w:rsidRPr="00186F49">
        <w:rPr>
          <w:rFonts w:ascii="Arial" w:eastAsia="Times New Roman" w:hAnsi="Arial" w:cs="Arial"/>
          <w:b/>
          <w:bCs/>
          <w:kern w:val="0"/>
          <w:szCs w:val="24"/>
          <w:lang w:eastAsia="es-ES"/>
        </w:rPr>
        <w:t>.</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kern w:val="0"/>
          <w:szCs w:val="24"/>
          <w:lang w:eastAsia="es-ES"/>
        </w:rPr>
        <w:t xml:space="preserve">El gobierno nacional establecerá un proceso gradual para nivelar los límites mínimos de cada rango salarial entre las diferentes entidades territoriales. Esta nivelación se realizará con arreglo al régimen gradual aquí previsto y por una sola vez, sin perjuicio de lo establecido en el artículo 6 de la Ley 60 de 1993. Esta nivelación debe producirse en las vigencias fiscales de 1995 a 1998 de acuerdo con la disponibilidad de recursos del situado fiscal y de las demás rentas del sector en los diferentes departamentos y municipios con quienes deberá concertarse el Plan específico de nivelación. Para la vigencia de 1994, puede adelantarse la nivelación con arreglo a las disponibilidades </w:t>
      </w:r>
      <w:proofErr w:type="spellStart"/>
      <w:r w:rsidRPr="00186F49">
        <w:rPr>
          <w:rFonts w:ascii="Arial" w:eastAsia="Times New Roman" w:hAnsi="Arial" w:cs="Arial"/>
          <w:kern w:val="0"/>
          <w:szCs w:val="24"/>
          <w:lang w:eastAsia="es-ES"/>
        </w:rPr>
        <w:t>resupuestales</w:t>
      </w:r>
      <w:proofErr w:type="spellEnd"/>
      <w:r w:rsidRPr="00186F49">
        <w:rPr>
          <w:rFonts w:ascii="Arial" w:eastAsia="Times New Roman" w:hAnsi="Arial" w:cs="Arial"/>
          <w:kern w:val="0"/>
          <w:szCs w:val="24"/>
          <w:lang w:eastAsia="es-ES"/>
        </w:rPr>
        <w:t xml:space="preserve"> y al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la fijación del régimen salarial especial y la nivelación de que trata el presente artículo, se consideraran los criterios establecidos en el artículo 2 de la Ley 4 de 1992, con excepción de las letras k y ll. Igualmente, deberá considerarse la equidad regional y el especial estímulo que requieran los empleados públicos que presten sus servicios en zonas marginadas y rurales, de conformidad con el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PARÁGRAFO 1o.</w:t>
      </w:r>
      <w:r w:rsidRPr="00186F49">
        <w:rPr>
          <w:rFonts w:ascii="Arial" w:eastAsia="Times New Roman" w:hAnsi="Arial" w:cs="Arial"/>
          <w:kern w:val="0"/>
          <w:szCs w:val="24"/>
          <w:lang w:eastAsia="es-ES"/>
        </w:rPr>
        <w:t xml:space="preserve"> Los convenios docente-asistenciales que se realicen con ocasión de residencia o entrenamiento de profesionales de la salud en diferentes especialidades que impliquen prestación de servicios en las instituciones de salud deberán consagrar una beca-crédito en favor de tales estudiantes y </w:t>
      </w:r>
      <w:proofErr w:type="gramStart"/>
      <w:r w:rsidRPr="00186F49">
        <w:rPr>
          <w:rFonts w:ascii="Arial" w:eastAsia="Times New Roman" w:hAnsi="Arial" w:cs="Arial"/>
          <w:kern w:val="0"/>
          <w:szCs w:val="24"/>
          <w:lang w:eastAsia="es-ES"/>
        </w:rPr>
        <w:t>profesionales no menor</w:t>
      </w:r>
      <w:proofErr w:type="gramEnd"/>
      <w:r w:rsidRPr="00186F49">
        <w:rPr>
          <w:rFonts w:ascii="Arial" w:eastAsia="Times New Roman" w:hAnsi="Arial" w:cs="Arial"/>
          <w:kern w:val="0"/>
          <w:szCs w:val="24"/>
          <w:lang w:eastAsia="es-ES"/>
        </w:rPr>
        <w:t xml:space="preserve"> de dos salarios mínimos mensuales. Al financiamiento de este programa concurrirán el Ministerio de Salud y el ICETEX conforme a la reglamentación que expida el Gobierno. El crédito podrá ser condonado cuando la residencia o entrenamiento se lleve a cargo en las áreas prioritarias para el desarrollo de la salud pública o el Sistema General de Seguridad Social en Salud, y/o la contraprestación de servicios en las regiones con menor disponibilidad de recursos humanos, de acuerdo con la definición que expida el Ministerio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PARÁGRAFO 2o.</w:t>
      </w:r>
      <w:r w:rsidRPr="00186F49">
        <w:rPr>
          <w:rFonts w:ascii="Arial" w:eastAsia="Times New Roman" w:hAnsi="Arial" w:cs="Arial"/>
          <w:kern w:val="0"/>
          <w:szCs w:val="24"/>
          <w:lang w:eastAsia="es-ES"/>
        </w:rPr>
        <w:t xml:space="preserve"> Las Entidades Promotoras de Salud y las Instituciones Prestadoras de Salud podrán establecer modalidades de contratación por capitación con grupos de práctica profesional o con profesionales individuales con el fin de incentivar la eficiencia y la calidad de la prestación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PARÁGRAFO 3o.</w:t>
      </w:r>
      <w:r w:rsidRPr="00186F49">
        <w:rPr>
          <w:rFonts w:ascii="Arial" w:eastAsia="Times New Roman" w:hAnsi="Arial" w:cs="Arial"/>
          <w:kern w:val="0"/>
          <w:szCs w:val="24"/>
          <w:lang w:eastAsia="es-ES"/>
        </w:rPr>
        <w:t xml:space="preserve"> El Instituto de Seguros Sociales podrá establecer un sistema de prima de productividad para los trabajadores, médicos y demás profesionales asalariados, de acuerdo con el rendimiento de los individuos o de la institución como un todo, la cual en ningún caso constituirá salario. El Consejo Directivo del Instituto reglamentará su aplicación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PARÁGRAFO 4o.</w:t>
      </w:r>
      <w:r w:rsidRPr="00186F49">
        <w:rPr>
          <w:rFonts w:ascii="Arial" w:eastAsia="Times New Roman" w:hAnsi="Arial" w:cs="Arial"/>
          <w:kern w:val="0"/>
          <w:szCs w:val="24"/>
          <w:lang w:eastAsia="es-ES"/>
        </w:rPr>
        <w:t xml:space="preserve"> Las Instituciones Prestadoras de Salud privada podrán implementar programas de incentivos a la eficiencia laboral para los médicos, demás profesionales y trabajadores asalariados de la salud que tenga en cuenta el rendimiento de los individuos, de los grupos de trabajo o de las instituciones como un todo. El Consejo Nacional de Seguridad Social en Salud definirá la modalidad de los estímulos a que se refiere este parágrafo.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Régimen de las empresas sociales del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ARTICULO. </w:t>
      </w:r>
      <w:bookmarkStart w:id="81" w:name="BM194"/>
      <w:r w:rsidRPr="00186F49">
        <w:rPr>
          <w:rFonts w:ascii="Arial" w:eastAsia="Times New Roman" w:hAnsi="Arial" w:cs="Arial"/>
          <w:b/>
          <w:bCs/>
          <w:kern w:val="0"/>
          <w:szCs w:val="24"/>
          <w:lang w:eastAsia="es-ES"/>
        </w:rPr>
        <w:t> </w:t>
      </w:r>
      <w:bookmarkEnd w:id="81"/>
      <w:r w:rsidRPr="00186F49">
        <w:rPr>
          <w:rFonts w:ascii="Arial" w:eastAsia="Times New Roman" w:hAnsi="Arial" w:cs="Arial"/>
          <w:b/>
          <w:bCs/>
          <w:kern w:val="0"/>
          <w:szCs w:val="24"/>
          <w:lang w:eastAsia="es-ES"/>
        </w:rPr>
        <w:t>194.-Naturaleza</w:t>
      </w:r>
      <w:r w:rsidRPr="00186F49">
        <w:rPr>
          <w:rFonts w:ascii="Arial" w:eastAsia="Times New Roman" w:hAnsi="Arial" w:cs="Arial"/>
          <w:kern w:val="0"/>
          <w:szCs w:val="24"/>
          <w:lang w:eastAsia="es-ES"/>
        </w:rPr>
        <w:t>.  </w:t>
      </w:r>
      <w:hyperlink r:id="rId203" w:anchor="0" w:history="1">
        <w:r w:rsidRPr="00186F49">
          <w:rPr>
            <w:rFonts w:ascii="Arial" w:eastAsia="Times New Roman" w:hAnsi="Arial" w:cs="Arial"/>
            <w:color w:val="0000FF"/>
            <w:kern w:val="0"/>
            <w:szCs w:val="24"/>
            <w:u w:val="single"/>
            <w:lang w:eastAsia="es-ES"/>
          </w:rPr>
          <w:t>Reglamentado por el Decreto Nacional 1876 de 1994</w:t>
        </w:r>
      </w:hyperlink>
      <w:r w:rsidRPr="00186F49">
        <w:rPr>
          <w:rFonts w:ascii="Arial" w:eastAsia="Times New Roman" w:hAnsi="Arial" w:cs="Arial"/>
          <w:kern w:val="0"/>
          <w:szCs w:val="24"/>
          <w:lang w:eastAsia="es-ES"/>
        </w:rPr>
        <w:t>.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82" w:name="BM195"/>
      <w:r w:rsidRPr="00186F49">
        <w:rPr>
          <w:rFonts w:ascii="Arial" w:eastAsia="Times New Roman" w:hAnsi="Arial" w:cs="Arial"/>
          <w:b/>
          <w:bCs/>
          <w:kern w:val="0"/>
          <w:szCs w:val="24"/>
          <w:lang w:eastAsia="es-ES"/>
        </w:rPr>
        <w:t> </w:t>
      </w:r>
      <w:bookmarkEnd w:id="82"/>
      <w:r w:rsidRPr="00186F49">
        <w:rPr>
          <w:rFonts w:ascii="Arial" w:eastAsia="Times New Roman" w:hAnsi="Arial" w:cs="Arial"/>
          <w:b/>
          <w:bCs/>
          <w:kern w:val="0"/>
          <w:szCs w:val="24"/>
          <w:lang w:eastAsia="es-ES"/>
        </w:rPr>
        <w:t>195.-Régimen jurídico</w:t>
      </w:r>
      <w:r w:rsidRPr="00186F49">
        <w:rPr>
          <w:rFonts w:ascii="Arial" w:eastAsia="Times New Roman" w:hAnsi="Arial" w:cs="Arial"/>
          <w:kern w:val="0"/>
          <w:szCs w:val="24"/>
          <w:lang w:eastAsia="es-ES"/>
        </w:rPr>
        <w:t>.  </w:t>
      </w:r>
      <w:hyperlink r:id="rId204" w:anchor="0" w:history="1">
        <w:r w:rsidRPr="00186F49">
          <w:rPr>
            <w:rFonts w:ascii="Arial" w:eastAsia="Times New Roman" w:hAnsi="Arial" w:cs="Arial"/>
            <w:color w:val="0000FF"/>
            <w:kern w:val="0"/>
            <w:szCs w:val="24"/>
            <w:u w:val="single"/>
            <w:lang w:eastAsia="es-ES"/>
          </w:rPr>
          <w:t>Reglamentado por el Decreto Nacional 1876 de 1994</w:t>
        </w:r>
      </w:hyperlink>
      <w:r w:rsidRPr="00186F49">
        <w:rPr>
          <w:rFonts w:ascii="Arial" w:eastAsia="Times New Roman" w:hAnsi="Arial" w:cs="Arial"/>
          <w:kern w:val="0"/>
          <w:szCs w:val="24"/>
          <w:lang w:eastAsia="es-ES"/>
        </w:rPr>
        <w:t xml:space="preserve">. Las empresas sociales de salud se someterán al siguiente régimen jurídico: </w:t>
      </w:r>
      <w:hyperlink r:id="rId205" w:anchor="1" w:history="1">
        <w:r w:rsidRPr="00186F49">
          <w:rPr>
            <w:rFonts w:ascii="Arial" w:eastAsia="Times New Roman" w:hAnsi="Arial" w:cs="Arial"/>
            <w:color w:val="0000FF"/>
            <w:kern w:val="0"/>
            <w:szCs w:val="24"/>
            <w:u w:val="single"/>
            <w:lang w:eastAsia="es-ES"/>
          </w:rPr>
          <w:t>Ver Art. 2° Decreto Nacional 1919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El nombre deberá mencionar siempre la expresión "empresa social del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El objeto debe ser la prestación de los servicios de salud, como servicio público a cargo del Estado o como parte del servicio público de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La junta o consejo directivo estará integrada de la misma forma dispuesta en el artículo 19 de la Ley 10 de 1990.</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El director o representante legal será designado según lo dispone el artículo 192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Las personas vinculadas a la empresa tendrán el carácter de empleados públicos y trabajadores oficiales, conforme a las reglas del capítulo IV de la Ley 10 de 1990.</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En materia contractual se regirá por el derecho privado, pero podrá discrecionalmente utilizar las cláusulas exorbitantes previstas en el estatuto general de contratación de la administración pública.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7.  El régimen presupuestal será el que se prevea, en función de su especialidad, en la ley orgánica de presupuesto, de forma que se adopte un régimen de </w:t>
      </w:r>
      <w:proofErr w:type="spellStart"/>
      <w:r w:rsidRPr="00186F49">
        <w:rPr>
          <w:rFonts w:ascii="Arial" w:eastAsia="Times New Roman" w:hAnsi="Arial" w:cs="Arial"/>
          <w:kern w:val="0"/>
          <w:szCs w:val="24"/>
          <w:lang w:eastAsia="es-ES"/>
        </w:rPr>
        <w:t>presupuestación</w:t>
      </w:r>
      <w:proofErr w:type="spellEnd"/>
      <w:r w:rsidRPr="00186F49">
        <w:rPr>
          <w:rFonts w:ascii="Arial" w:eastAsia="Times New Roman" w:hAnsi="Arial" w:cs="Arial"/>
          <w:kern w:val="0"/>
          <w:szCs w:val="24"/>
          <w:lang w:eastAsia="es-ES"/>
        </w:rPr>
        <w:t xml:space="preserve"> con base en el sistema de reembolso contra prestación de servicios, en los términos previstos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8.  Por tratarse de una entidad pública podrá recibir transferencias directas de los presupuestos de la Nación o de las entidades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9.  Para efectos de tributos nacionales, se someterán al régimen previsto para los establecimientos públicos.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196.-Empresas sociales de salud de carácter nacional</w:t>
      </w:r>
      <w:r w:rsidRPr="00186F49">
        <w:rPr>
          <w:rFonts w:ascii="Arial" w:eastAsia="Times New Roman" w:hAnsi="Arial" w:cs="Arial"/>
          <w:kern w:val="0"/>
          <w:szCs w:val="24"/>
          <w:lang w:eastAsia="es-ES"/>
        </w:rPr>
        <w:t>. Transfórmese todas las entidades descentralizadas del orden nacional cuyo objeto sea la prestación de servicios de salud, en empresas sociales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83" w:name="BM197"/>
      <w:r w:rsidRPr="00186F49">
        <w:rPr>
          <w:rFonts w:ascii="Arial" w:eastAsia="Times New Roman" w:hAnsi="Arial" w:cs="Arial"/>
          <w:b/>
          <w:bCs/>
          <w:kern w:val="0"/>
          <w:szCs w:val="24"/>
          <w:lang w:eastAsia="es-ES"/>
        </w:rPr>
        <w:t> </w:t>
      </w:r>
      <w:bookmarkEnd w:id="83"/>
      <w:r w:rsidRPr="00186F49">
        <w:rPr>
          <w:rFonts w:ascii="Arial" w:eastAsia="Times New Roman" w:hAnsi="Arial" w:cs="Arial"/>
          <w:b/>
          <w:bCs/>
          <w:kern w:val="0"/>
          <w:szCs w:val="24"/>
          <w:lang w:eastAsia="es-ES"/>
        </w:rPr>
        <w:t>197.-Empresas sociales de salud de carácter territorial</w:t>
      </w:r>
      <w:r w:rsidRPr="00186F49">
        <w:rPr>
          <w:rFonts w:ascii="Arial" w:eastAsia="Times New Roman" w:hAnsi="Arial" w:cs="Arial"/>
          <w:kern w:val="0"/>
          <w:szCs w:val="24"/>
          <w:lang w:eastAsia="es-ES"/>
        </w:rPr>
        <w:t>.  </w:t>
      </w:r>
      <w:hyperlink r:id="rId206" w:anchor="0" w:history="1">
        <w:r w:rsidRPr="00186F49">
          <w:rPr>
            <w:rFonts w:ascii="Arial" w:eastAsia="Times New Roman" w:hAnsi="Arial" w:cs="Arial"/>
            <w:color w:val="0000FF"/>
            <w:kern w:val="0"/>
            <w:szCs w:val="24"/>
            <w:u w:val="single"/>
            <w:lang w:eastAsia="es-ES"/>
          </w:rPr>
          <w:t>Reglamentado por el Decreto Nacional 1876 de 1994</w:t>
        </w:r>
      </w:hyperlink>
      <w:r w:rsidRPr="00186F49">
        <w:rPr>
          <w:rFonts w:ascii="Arial" w:eastAsia="Times New Roman" w:hAnsi="Arial" w:cs="Arial"/>
          <w:kern w:val="0"/>
          <w:szCs w:val="24"/>
          <w:lang w:eastAsia="es-ES"/>
        </w:rPr>
        <w:t>. Las entidades territoriales deberán disponer, dentro de los seis (6) meses siguientes a la fecha de vigencia de esta ley, la reestructuración de las entidades descentralizadas cuyo objeto principal sea la prestación de servicios de salud, con el fin de adecuarlas a lo dispuesto en este capítulo.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los usuarios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198.-Información a los usuarios</w:t>
      </w:r>
      <w:r w:rsidRPr="00186F49">
        <w:rPr>
          <w:rFonts w:ascii="Arial" w:eastAsia="Times New Roman" w:hAnsi="Arial" w:cs="Arial"/>
          <w:kern w:val="0"/>
          <w:szCs w:val="24"/>
          <w:lang w:eastAsia="es-ES"/>
        </w:rPr>
        <w:t>. Las instituciones prestadoras de salud deberán garantizar un adecuado sistema de información de sus servicios y atención a los usuarios, mediante la implementación de una línea telefónica abierta con atención permanente 24 horas.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199.-Información de los usuarios</w:t>
      </w:r>
      <w:r w:rsidRPr="00186F49">
        <w:rPr>
          <w:rFonts w:ascii="Arial" w:eastAsia="Times New Roman" w:hAnsi="Arial" w:cs="Arial"/>
          <w:kern w:val="0"/>
          <w:szCs w:val="24"/>
          <w:lang w:eastAsia="es-ES"/>
        </w:rPr>
        <w:t>. El Ministerio de Salud definirá normas de calidad y satisfacción del usuario, pudiendo establecer medidas como tiempos máximos de espera por servicios y métodos de registro en listas de espera, de acuerdo con las patologías y necesidades de atención del paciente.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El Ministerio de Salud solicitará la información que estime necesaria con el objeto de establecer sistemas homogéneos de registro y análisis que permitan periódicamente la evaluación de la calidad del servicio y la satisfacción del usuario.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200.-Promoción de asociaciones de usuarios</w:t>
      </w:r>
      <w:r w:rsidRPr="00186F49">
        <w:rPr>
          <w:rFonts w:ascii="Arial" w:eastAsia="Times New Roman" w:hAnsi="Arial" w:cs="Arial"/>
          <w:kern w:val="0"/>
          <w:szCs w:val="24"/>
          <w:lang w:eastAsia="es-ES"/>
        </w:rPr>
        <w:t>. Para aquellas poblaciones no afiliadas al régimen contributivo, el gobierno promoverá la organización de las comunidades como demandantes de servicios de salud, sobre la base de las organizaciones comunitarias de que trata el artículo 22 de la Ley 11 de 1986, y el Decreto 1416 de 1990, los cabildos indígenas y, en general, cualquier otra forma de organización comunitaria.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la administración y financiación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201. -Conformación del sistema general de seguridad social en salud.</w:t>
      </w:r>
      <w:r w:rsidRPr="00186F49">
        <w:rPr>
          <w:rFonts w:ascii="Arial" w:eastAsia="Times New Roman" w:hAnsi="Arial" w:cs="Arial"/>
          <w:kern w:val="0"/>
          <w:szCs w:val="24"/>
          <w:lang w:eastAsia="es-ES"/>
        </w:rPr>
        <w:t xml:space="preserve"> En el sistema general de seguridad social en salud coexisten </w:t>
      </w:r>
      <w:r w:rsidRPr="00186F49">
        <w:rPr>
          <w:rFonts w:ascii="Arial" w:eastAsia="Times New Roman" w:hAnsi="Arial" w:cs="Arial"/>
          <w:kern w:val="0"/>
          <w:szCs w:val="24"/>
          <w:lang w:eastAsia="es-ES"/>
        </w:rPr>
        <w:lastRenderedPageBreak/>
        <w:t xml:space="preserve">articuladamente, para su financiamiento y administración, un régimen contributivo de salud y un régimen de subsidios en salud, con vinculaciones mediante el fondo de solidaridad y garantías. </w:t>
      </w:r>
      <w:hyperlink r:id="rId207" w:anchor="1" w:history="1">
        <w:r w:rsidRPr="00186F49">
          <w:rPr>
            <w:rFonts w:ascii="Arial" w:eastAsia="Times New Roman" w:hAnsi="Arial" w:cs="Arial"/>
            <w:color w:val="0000FF"/>
            <w:kern w:val="0"/>
            <w:szCs w:val="24"/>
            <w:u w:val="single"/>
            <w:lang w:eastAsia="es-ES"/>
          </w:rPr>
          <w:t>Declarado Exequible Sentencia Corte Constitucional 130 de 2002</w:t>
        </w:r>
      </w:hyperlink>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Del régimen contributivo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08" w:anchor="1" w:history="1">
        <w:r w:rsidRPr="00186F49">
          <w:rPr>
            <w:rFonts w:ascii="Arial" w:eastAsia="Times New Roman" w:hAnsi="Arial" w:cs="Arial"/>
            <w:color w:val="0000FF"/>
            <w:kern w:val="0"/>
            <w:szCs w:val="24"/>
            <w:u w:val="single"/>
            <w:lang w:eastAsia="es-ES"/>
          </w:rPr>
          <w:t>Ver el Decreto Nacional 1281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202.-Definición.</w:t>
      </w:r>
      <w:r w:rsidRPr="00186F49">
        <w:rPr>
          <w:rFonts w:ascii="Arial" w:eastAsia="Times New Roman" w:hAnsi="Arial" w:cs="Arial"/>
          <w:kern w:val="0"/>
          <w:szCs w:val="24"/>
          <w:lang w:eastAsia="es-ES"/>
        </w:rPr>
        <w:t xml:space="preserve"> El régimen contributivo es un conjunto de normas que rigen la vinculación de los individuos y las familias al sistema general de seguridad social en salud, cuando tal vinculación se hace a través del pago de una cotización, individual y familiar, o un aporte económico previo financiado directamente por el afiliado o en concurrencia entre éste y su empleador. </w:t>
      </w:r>
      <w:hyperlink r:id="rId209" w:anchor="1" w:history="1">
        <w:r w:rsidRPr="00186F49">
          <w:rPr>
            <w:rFonts w:ascii="Arial" w:eastAsia="Times New Roman" w:hAnsi="Arial" w:cs="Arial"/>
            <w:color w:val="0000FF"/>
            <w:kern w:val="0"/>
            <w:szCs w:val="24"/>
            <w:u w:val="single"/>
            <w:lang w:eastAsia="es-ES"/>
          </w:rPr>
          <w:t>Ver el Decreto Nacional 3023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203.-Afiliados y beneficiarios</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Declarado CONDICIONALMENTE EXEQUIBLE por la Corte Constitucional, mediante Sentencia</w:t>
      </w:r>
      <w:r w:rsidRPr="00186F49">
        <w:rPr>
          <w:rFonts w:ascii="Arial" w:eastAsia="Times New Roman" w:hAnsi="Arial" w:cs="Arial"/>
          <w:kern w:val="0"/>
          <w:szCs w:val="24"/>
          <w:lang w:eastAsia="es-ES"/>
        </w:rPr>
        <w:t xml:space="preserve"> C-663 </w:t>
      </w:r>
      <w:r w:rsidRPr="00186F49">
        <w:rPr>
          <w:rFonts w:ascii="Arial" w:eastAsia="Times New Roman" w:hAnsi="Arial" w:cs="Arial"/>
          <w:b/>
          <w:bCs/>
          <w:kern w:val="0"/>
          <w:szCs w:val="24"/>
          <w:lang w:eastAsia="es-ES"/>
        </w:rPr>
        <w:t>de 1996</w:t>
      </w:r>
      <w:r w:rsidRPr="00186F49">
        <w:rPr>
          <w:rFonts w:ascii="Arial" w:eastAsia="Times New Roman" w:hAnsi="Arial" w:cs="Arial"/>
          <w:kern w:val="0"/>
          <w:szCs w:val="24"/>
          <w:lang w:eastAsia="es-ES"/>
        </w:rPr>
        <w:t>. Serán afiliados obligatorios al régimen contributivo los afiliados de que trata el literal a) del artículo 157.</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-El gobierno podrá establecer los sistemas de control que estime necesarios para evitar que los afiliados obligatorios al régimen contributivo y las personas de altos ingresos se beneficien de los subsidios previstos en la presente ley. </w:t>
      </w:r>
      <w:hyperlink r:id="rId210" w:anchor="1" w:history="1">
        <w:r w:rsidRPr="00186F49">
          <w:rPr>
            <w:rFonts w:ascii="Arial" w:eastAsia="Times New Roman" w:hAnsi="Arial" w:cs="Arial"/>
            <w:color w:val="0000FF"/>
            <w:kern w:val="0"/>
            <w:szCs w:val="24"/>
            <w:u w:val="single"/>
            <w:lang w:eastAsia="es-ES"/>
          </w:rPr>
          <w:t>Ver Decreto Nacional 1703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84" w:name="BM4"/>
      <w:bookmarkEnd w:id="84"/>
      <w:r w:rsidRPr="00186F49">
        <w:rPr>
          <w:rFonts w:ascii="Arial" w:eastAsia="Times New Roman" w:hAnsi="Arial" w:cs="Arial"/>
          <w:b/>
          <w:bCs/>
          <w:kern w:val="0"/>
          <w:szCs w:val="24"/>
          <w:lang w:eastAsia="es-ES"/>
        </w:rPr>
        <w:t>ARTICULO.  </w:t>
      </w:r>
      <w:bookmarkStart w:id="85" w:name="204"/>
      <w:r w:rsidRPr="00186F49">
        <w:rPr>
          <w:rFonts w:ascii="Arial" w:eastAsia="Times New Roman" w:hAnsi="Arial" w:cs="Arial"/>
          <w:b/>
          <w:bCs/>
          <w:kern w:val="0"/>
          <w:szCs w:val="24"/>
          <w:lang w:eastAsia="es-ES"/>
        </w:rPr>
        <w:t> </w:t>
      </w:r>
      <w:bookmarkEnd w:id="85"/>
      <w:r w:rsidRPr="00186F49">
        <w:rPr>
          <w:rFonts w:ascii="Arial" w:eastAsia="Times New Roman" w:hAnsi="Arial" w:cs="Arial"/>
          <w:b/>
          <w:bCs/>
          <w:kern w:val="0"/>
          <w:szCs w:val="24"/>
          <w:lang w:eastAsia="es-ES"/>
        </w:rPr>
        <w:t>204.-</w:t>
      </w:r>
      <w:bookmarkStart w:id="86" w:name="BM204"/>
      <w:r w:rsidRPr="00186F49">
        <w:rPr>
          <w:rFonts w:ascii="Arial" w:eastAsia="Times New Roman" w:hAnsi="Arial" w:cs="Arial"/>
          <w:b/>
          <w:bCs/>
          <w:kern w:val="0"/>
          <w:szCs w:val="24"/>
          <w:lang w:eastAsia="es-ES"/>
        </w:rPr>
        <w:t> </w:t>
      </w:r>
      <w:bookmarkEnd w:id="86"/>
      <w:r w:rsidRPr="00186F49">
        <w:rPr>
          <w:rFonts w:ascii="Arial" w:eastAsia="Times New Roman" w:hAnsi="Arial" w:cs="Arial"/>
          <w:b/>
          <w:bCs/>
          <w:kern w:val="0"/>
          <w:szCs w:val="24"/>
          <w:lang w:eastAsia="es-ES"/>
        </w:rPr>
        <w:t>Monto y distribución de las cotizaciones</w:t>
      </w:r>
      <w:r w:rsidRPr="00186F49">
        <w:rPr>
          <w:rFonts w:ascii="Arial" w:eastAsia="Times New Roman" w:hAnsi="Arial" w:cs="Arial"/>
          <w:kern w:val="0"/>
          <w:szCs w:val="24"/>
          <w:lang w:eastAsia="es-ES"/>
        </w:rPr>
        <w:t>.  </w:t>
      </w:r>
      <w:hyperlink r:id="rId211" w:anchor="10" w:history="1">
        <w:r w:rsidRPr="00186F49">
          <w:rPr>
            <w:rFonts w:ascii="Arial" w:eastAsia="Times New Roman" w:hAnsi="Arial" w:cs="Arial"/>
            <w:color w:val="0000FF"/>
            <w:kern w:val="0"/>
            <w:szCs w:val="24"/>
            <w:u w:val="single"/>
            <w:lang w:eastAsia="es-ES"/>
          </w:rPr>
          <w:t>Modificado por el art. 10, Ley 1122 de 2007</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el nuevo texto es el siguiente:</w:t>
      </w:r>
      <w:r w:rsidRPr="00186F49">
        <w:rPr>
          <w:rFonts w:ascii="Arial" w:eastAsia="Times New Roman" w:hAnsi="Arial" w:cs="Arial"/>
          <w:kern w:val="0"/>
          <w:szCs w:val="24"/>
          <w:lang w:eastAsia="es-ES"/>
        </w:rPr>
        <w:t xml:space="preserve"> La cotización al Régimen Contributivo de Salud será, a partir del primero (1°) de enero del año 2007, del 12,5% del ingreso o salario base de cotización, el cual no podrá ser inferior al salario mínimo. La cotización a cargo del empleador será del 8.5% y a cargo del empleado del 4%. Uno punto cinco (1,5) de la cotización serán trasladados a la subcuenta de Solidaridad del </w:t>
      </w:r>
      <w:proofErr w:type="spellStart"/>
      <w:r w:rsidRPr="00186F49">
        <w:rPr>
          <w:rFonts w:ascii="Arial" w:eastAsia="Times New Roman" w:hAnsi="Arial" w:cs="Arial"/>
          <w:kern w:val="0"/>
          <w:szCs w:val="24"/>
          <w:lang w:eastAsia="es-ES"/>
        </w:rPr>
        <w:t>Fosyga</w:t>
      </w:r>
      <w:proofErr w:type="spellEnd"/>
      <w:r w:rsidRPr="00186F49">
        <w:rPr>
          <w:rFonts w:ascii="Arial" w:eastAsia="Times New Roman" w:hAnsi="Arial" w:cs="Arial"/>
          <w:kern w:val="0"/>
          <w:szCs w:val="24"/>
          <w:lang w:eastAsia="es-ES"/>
        </w:rPr>
        <w:t xml:space="preserve"> para contribuir a la financiación de los beneficiarios del régimen subsidiado. Las cotizaciones que hoy tienen para salud los regímenes especiales y de excepción se incrementarán en cero punto cinco por ciento (0,5%), a cargo del empleador, que será destinado a la subcuenta de solidaridad para completar el uno punto cinco a los que hace referencia el presente artículo. El cero punto cinco por ciento (0,5%) adicional reemplaza en parte el incremento del punto en pensiones aprobado en la Ley 797 de 2003, el cual sólo será incrementado por el Gobierno Nacional en cero punto cinco por ciento (0,5%). </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 xml:space="preserve">Texto original del inciso primero de la Ley 100 de 1993: </w:t>
      </w:r>
    </w:p>
    <w:p w:rsidR="00186F49" w:rsidRPr="00186F49" w:rsidRDefault="00186F49" w:rsidP="00186F49">
      <w:pPr>
        <w:spacing w:before="100" w:beforeAutospacing="1" w:after="100" w:afterAutospacing="1"/>
        <w:jc w:val="left"/>
        <w:rPr>
          <w:rFonts w:ascii="Arial" w:eastAsia="Times New Roman" w:hAnsi="Arial" w:cs="Arial"/>
          <w:i/>
          <w:iCs/>
          <w:kern w:val="0"/>
          <w:sz w:val="15"/>
          <w:szCs w:val="15"/>
          <w:lang w:eastAsia="es-ES"/>
        </w:rPr>
      </w:pPr>
      <w:r w:rsidRPr="00186F49">
        <w:rPr>
          <w:rFonts w:ascii="Arial" w:eastAsia="Times New Roman" w:hAnsi="Arial" w:cs="Arial"/>
          <w:i/>
          <w:iCs/>
          <w:kern w:val="0"/>
          <w:sz w:val="15"/>
          <w:szCs w:val="15"/>
          <w:lang w:eastAsia="es-ES"/>
        </w:rPr>
        <w:t> La cotización obligatoria que se aplica a los afiliados al sistema general de seguridad social en salud según las normas del presente régimen, será máximo del 12% del salario base de cotización, el cual no podrá ser inferior al salario mínimo. Dos terceras partes de la cotización estarán a cargo del empleador y una tercera parte a cargo del trabajador. Un punto de la cotización será trasladado al fondo de solidaridad y garantía para contribuir a la financiación de los beneficiarios del régimen subsidiado.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12" w:anchor="1" w:history="1">
        <w:r w:rsidRPr="00186F49">
          <w:rPr>
            <w:rFonts w:ascii="Arial" w:eastAsia="Times New Roman" w:hAnsi="Arial" w:cs="Arial"/>
            <w:color w:val="0000FF"/>
            <w:kern w:val="0"/>
            <w:szCs w:val="24"/>
            <w:u w:val="single"/>
            <w:lang w:eastAsia="es-ES"/>
          </w:rPr>
          <w:t>Inciso adicionado por el art. 1, Ley 1250 de 2008</w:t>
        </w:r>
      </w:hyperlink>
      <w:r w:rsidRPr="00186F49">
        <w:rPr>
          <w:rFonts w:ascii="Arial" w:eastAsia="Times New Roman" w:hAnsi="Arial" w:cs="Arial"/>
          <w:b/>
          <w:bCs/>
          <w:kern w:val="0"/>
          <w:szCs w:val="24"/>
          <w:lang w:eastAsia="es-ES"/>
        </w:rPr>
        <w:t>, así:</w:t>
      </w:r>
      <w:r w:rsidRPr="00186F49">
        <w:rPr>
          <w:rFonts w:ascii="Arial" w:eastAsia="Times New Roman" w:hAnsi="Arial" w:cs="Arial"/>
          <w:kern w:val="0"/>
          <w:szCs w:val="24"/>
          <w:lang w:eastAsia="es-ES"/>
        </w:rPr>
        <w:t xml:space="preserve"> La cotización mensual al régimen contributivo de salud de los pensionados será del 12% del ingreso de la respectiva mesada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w:t>
      </w:r>
      <w:r w:rsidRPr="00186F49">
        <w:rPr>
          <w:rFonts w:ascii="Arial" w:eastAsia="Times New Roman" w:hAnsi="Arial" w:cs="Arial"/>
          <w:kern w:val="0"/>
          <w:szCs w:val="24"/>
          <w:u w:val="single"/>
          <w:lang w:eastAsia="es-ES"/>
        </w:rPr>
        <w:t>la cual se hará efectiva a partir del primero de enero de 2008</w:t>
      </w:r>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 xml:space="preserve">El texto subrayado fue declarado INEXEQUIBLE por la Corte Constitucional mediante Sentencia </w:t>
      </w:r>
      <w:hyperlink r:id="rId213" w:anchor="0" w:history="1">
        <w:r w:rsidRPr="00186F49">
          <w:rPr>
            <w:rFonts w:ascii="Arial" w:eastAsia="Times New Roman" w:hAnsi="Arial" w:cs="Arial"/>
            <w:color w:val="0000FF"/>
            <w:kern w:val="0"/>
            <w:szCs w:val="24"/>
            <w:u w:val="single"/>
            <w:lang w:eastAsia="es-ES"/>
          </w:rPr>
          <w:t>C-430</w:t>
        </w:r>
      </w:hyperlink>
      <w:r w:rsidRPr="00186F49">
        <w:rPr>
          <w:rFonts w:ascii="Arial" w:eastAsia="Times New Roman" w:hAnsi="Arial" w:cs="Arial"/>
          <w:b/>
          <w:bCs/>
          <w:kern w:val="0"/>
          <w:szCs w:val="24"/>
          <w:lang w:eastAsia="es-ES"/>
        </w:rPr>
        <w:t xml:space="preserve"> de 2009</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previa aprobación del consejo nacional de seguridad social en salud, definirá el monto de la cotización dentro del límite establecido en el inciso anterior y su distribución entre el plan de salud obligatorio y el cubrimiento de las incapacidades y licencias de maternidad de que tratan los artículos 206 y 207, y la subcuenta de las actividades de promoción de salud e investigación de que habla en artículo 222.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La base de cotización de las personas vinculadas mediante contrato de trabajo o como servidores públicos, afiliados obligatorios al sistema general de seguridad social en salud, será la misma contemplada en el sistema general de pensiones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Para efectos de cálculo de la base de cotización de los trabajadores independientes, el Gobierno Nacional reglamentará un sistema de presunciones de ingreso con base en información sobre el nivel de educación, la experiencia laboral, las actividades económicas, la región de operación y el patrimonio de los individuos. Así mismo, la periodicidad de la cotización para estos trabajadores podrá variar dependiendo de la estabilidad y periodicidad de sus ingresos.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Cuando se devenguen mensualmente más de 20 salarios mínimos legales vigentes, la base de cotización podrá ser limitada a dicho monto por 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14" w:anchor="0" w:history="1">
        <w:r w:rsidRPr="00186F49">
          <w:rPr>
            <w:rFonts w:ascii="Arial" w:eastAsia="Times New Roman" w:hAnsi="Arial" w:cs="Arial"/>
            <w:color w:val="0000FF"/>
            <w:kern w:val="0"/>
            <w:szCs w:val="24"/>
            <w:u w:val="single"/>
            <w:lang w:eastAsia="es-ES"/>
          </w:rPr>
          <w:t xml:space="preserve">Ver Decreto Nacional 516 de 2004.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205.-Administración del régimen contributivo</w:t>
      </w:r>
      <w:r w:rsidRPr="00186F49">
        <w:rPr>
          <w:rFonts w:ascii="Arial" w:eastAsia="Times New Roman" w:hAnsi="Arial" w:cs="Arial"/>
          <w:kern w:val="0"/>
          <w:szCs w:val="24"/>
          <w:lang w:eastAsia="es-ES"/>
        </w:rPr>
        <w:t>. Las entidades promotoras de salud recaudarán las cotizaciones obligatorias de los afiliados, por delegación del fondo de solidaridad y garantía. De este monto descontarán el valor de las unidades de pago por capitación, UPC, fijadas para el plan de salud obligatorio y trasladará la diferencia al fondo de solidaridad y garantía a más tardar el primer día hábil siguiente a la fecha límite establecida para el pago de las cotizaciones. En caso de ser la suma de las unidades de pago por capitación mayor que los ingresos por cotización, el fondo de solidaridad y garantía deberá cancelar la diferencia el mismo día a la entidad promotora de salud que así lo reporte.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fondo de solidaridad y garantía está autorizado para suscribir créditos puente con el sistema bancario en caso que se presenten problemas de liquidez al momento de hacer la compensación interna.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 xml:space="preserve">El fondo de solidaridad y garantía sólo hará el reintegro para compensar el valor de la unidad de pago por capitación de aquellos afiliados que hayan pagado íntegra y oportunamente la cotización mensual </w:t>
      </w:r>
      <w:r w:rsidRPr="00186F49">
        <w:rPr>
          <w:rFonts w:ascii="Arial" w:eastAsia="Times New Roman" w:hAnsi="Arial" w:cs="Arial"/>
          <w:kern w:val="0"/>
          <w:szCs w:val="24"/>
          <w:lang w:eastAsia="es-ES"/>
        </w:rPr>
        <w:lastRenderedPageBreak/>
        <w:t>correspondiente. La Superintendencia Nacional de Salud velará por el cumplimiento de esta disposición.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206.-Incapacidades</w:t>
      </w:r>
      <w:r w:rsidRPr="00186F49">
        <w:rPr>
          <w:rFonts w:ascii="Arial" w:eastAsia="Times New Roman" w:hAnsi="Arial" w:cs="Arial"/>
          <w:kern w:val="0"/>
          <w:szCs w:val="24"/>
          <w:lang w:eastAsia="es-ES"/>
        </w:rPr>
        <w:t>. Para los afiliados de que trata el literal a) del artículo 157, el régimen contributivo reconocerá las incapacidades generadas en enfermedad general, de conformidad con las disposiciones legales vigentes. Para el cubrimiento de estos riesgos las empresas promotoras de salud podrán subcontratar con compañías aseguradoras. Las incapacidades originadas en enfermedad profesional y accidente de trabajo serán reconocidas por las entidades promotoras de salud y se financiarán con cargo a los recursos destinados para el pago de dichas contingencias en el respectivo régimen, de acuerdo con la reglamentación que se expida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207.-De las licencias por maternidad</w:t>
      </w:r>
      <w:r w:rsidRPr="00186F49">
        <w:rPr>
          <w:rFonts w:ascii="Arial" w:eastAsia="Times New Roman" w:hAnsi="Arial" w:cs="Arial"/>
          <w:kern w:val="0"/>
          <w:szCs w:val="24"/>
          <w:lang w:eastAsia="es-ES"/>
        </w:rPr>
        <w:t>. Para los afiliados de que trata el literal a) del artículo 157, el régimen contributivo reconocerá y pagará a cada una de las entidades promotoras de salud, la licencia por maternidad, de conformidad con las disposiciones legales vigentes. El cumplimiento de esta obligación será financiado por el fondo de solidaridad, de su subcuenta de compensación, como una transferencia diferente a las unidades de pago por capitación, UPC.</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208.-De la atención de los accidentes de trabajo y la enfermedad profesional</w:t>
      </w:r>
      <w:r w:rsidRPr="00186F49">
        <w:rPr>
          <w:rFonts w:ascii="Arial" w:eastAsia="Times New Roman" w:hAnsi="Arial" w:cs="Arial"/>
          <w:kern w:val="0"/>
          <w:szCs w:val="24"/>
          <w:lang w:eastAsia="es-ES"/>
        </w:rPr>
        <w:t>. La prestación de los servicios de salud derivados de enfermedad profesional y accidente de trabajo deberá ser organizada por la entidad promotora de salud. Estos servicios se financiarán con cargo a la cotización del régimen de accidentes de trabajo y enfermedad profesional, que se define en el libro tercero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Gobierno Nacional reglamentará los procedimientos de cobro y pago de estos servicios. La Superintendencia Nacional de Salud vigilará y controlará el cumplimiento de tales normas.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209.-Suspensión de la afiliación</w:t>
      </w:r>
      <w:r w:rsidRPr="00186F49">
        <w:rPr>
          <w:rFonts w:ascii="Arial" w:eastAsia="Times New Roman" w:hAnsi="Arial" w:cs="Arial"/>
          <w:kern w:val="0"/>
          <w:szCs w:val="24"/>
          <w:lang w:eastAsia="es-ES"/>
        </w:rPr>
        <w:t>. El no pago de la cotización en el sistema contributivo producirá la suspensión de la afiliación y al derecho a la atención del plan de salud obligatorio. Por el período de la suspensión, no se podrán causar deuda ni interés de ninguna clase.</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(Declarado exequible condicionalmente por la Corte Constitucional en Sentencia C-177 de 1998).</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210.-Sanciones para el empleador.</w:t>
      </w:r>
      <w:r w:rsidRPr="00186F49">
        <w:rPr>
          <w:rFonts w:ascii="Arial" w:eastAsia="Times New Roman" w:hAnsi="Arial" w:cs="Arial"/>
          <w:kern w:val="0"/>
          <w:szCs w:val="24"/>
          <w:lang w:eastAsia="es-ES"/>
        </w:rPr>
        <w:t xml:space="preserve"> Se establecerán las mismas sanciones contempladas en los artículos 23 y 271 de la presente ley para los empleadores que impidan o atenten en cualquier forma contra el derecho del trabajador a escoger libre y voluntariamente la entidad promotora de salud a la cual desee afiliarse. También le son aplicables las sanciones establecidas para quien retrase el pago de los aportes.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-Ningún empleador de sector público o privado está exento de pagar su respectivo aporte al sistema general de seguridad social en salud.</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lastRenderedPageBreak/>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Del régimen subsidiado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87" w:name="BM211"/>
      <w:r w:rsidRPr="00186F49">
        <w:rPr>
          <w:rFonts w:ascii="Arial" w:eastAsia="Times New Roman" w:hAnsi="Arial" w:cs="Arial"/>
          <w:b/>
          <w:bCs/>
          <w:kern w:val="0"/>
          <w:szCs w:val="24"/>
          <w:lang w:eastAsia="es-ES"/>
        </w:rPr>
        <w:t> </w:t>
      </w:r>
      <w:bookmarkEnd w:id="87"/>
      <w:r w:rsidRPr="00186F49">
        <w:rPr>
          <w:rFonts w:ascii="Arial" w:eastAsia="Times New Roman" w:hAnsi="Arial" w:cs="Arial"/>
          <w:b/>
          <w:bCs/>
          <w:kern w:val="0"/>
          <w:szCs w:val="24"/>
          <w:lang w:eastAsia="es-ES"/>
        </w:rPr>
        <w:t>ARTICULO. 211.-Definición</w:t>
      </w:r>
      <w:r w:rsidRPr="00186F49">
        <w:rPr>
          <w:rFonts w:ascii="Arial" w:eastAsia="Times New Roman" w:hAnsi="Arial" w:cs="Arial"/>
          <w:kern w:val="0"/>
          <w:szCs w:val="24"/>
          <w:lang w:eastAsia="es-ES"/>
        </w:rPr>
        <w:t xml:space="preserve">. El régimen subsidiado es un conjunto de normas que rigen la vinculación de los individuos al sistema general de seguridad social en salud, cuando tal vinculación se hace a través del pago de una cotización subsidiada, total o parcialmente, con recursos fiscales o de solidaridad de que trata la presente ley. </w:t>
      </w:r>
      <w:hyperlink r:id="rId215" w:anchor="1" w:history="1">
        <w:r w:rsidRPr="00186F49">
          <w:rPr>
            <w:rFonts w:ascii="Arial" w:eastAsia="Times New Roman" w:hAnsi="Arial" w:cs="Arial"/>
            <w:color w:val="0000FF"/>
            <w:kern w:val="0"/>
            <w:szCs w:val="24"/>
            <w:u w:val="single"/>
            <w:lang w:eastAsia="es-ES"/>
          </w:rPr>
          <w:t>Ver el Decreto Nacional 3023 de 2002</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88" w:name="BM212"/>
      <w:r w:rsidRPr="00186F49">
        <w:rPr>
          <w:rFonts w:ascii="Arial" w:eastAsia="Times New Roman" w:hAnsi="Arial" w:cs="Arial"/>
          <w:b/>
          <w:bCs/>
          <w:kern w:val="0"/>
          <w:szCs w:val="24"/>
          <w:lang w:eastAsia="es-ES"/>
        </w:rPr>
        <w:t> </w:t>
      </w:r>
      <w:bookmarkEnd w:id="88"/>
      <w:r w:rsidRPr="00186F49">
        <w:rPr>
          <w:rFonts w:ascii="Arial" w:eastAsia="Times New Roman" w:hAnsi="Arial" w:cs="Arial"/>
          <w:b/>
          <w:bCs/>
          <w:kern w:val="0"/>
          <w:szCs w:val="24"/>
          <w:lang w:eastAsia="es-ES"/>
        </w:rPr>
        <w:t>ARTICULO. 212.-Creación del régimen</w:t>
      </w:r>
      <w:r w:rsidRPr="00186F49">
        <w:rPr>
          <w:rFonts w:ascii="Arial" w:eastAsia="Times New Roman" w:hAnsi="Arial" w:cs="Arial"/>
          <w:kern w:val="0"/>
          <w:szCs w:val="24"/>
          <w:lang w:eastAsia="es-ES"/>
        </w:rPr>
        <w:t>. Créase el régimen subsidiado que tendrá como propósito financiar la atención en salud a las personas pobres y vulnerables y sus grupos familiares que no tienen capacidad de cotizar. La forma y las condiciones de operación de este régimen serán determinadas por el consejo nacional de seguridad social en salud. Este régimen de subsidios será complementario del sistema de salud definido por la Ley 10 de 1990.</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89" w:name="BM213"/>
      <w:r w:rsidRPr="00186F49">
        <w:rPr>
          <w:rFonts w:ascii="Arial" w:eastAsia="Times New Roman" w:hAnsi="Arial" w:cs="Arial"/>
          <w:b/>
          <w:bCs/>
          <w:kern w:val="0"/>
          <w:szCs w:val="24"/>
          <w:lang w:eastAsia="es-ES"/>
        </w:rPr>
        <w:t> </w:t>
      </w:r>
      <w:bookmarkEnd w:id="89"/>
      <w:r w:rsidRPr="00186F49">
        <w:rPr>
          <w:rFonts w:ascii="Arial" w:eastAsia="Times New Roman" w:hAnsi="Arial" w:cs="Arial"/>
          <w:b/>
          <w:bCs/>
          <w:kern w:val="0"/>
          <w:szCs w:val="24"/>
          <w:lang w:eastAsia="es-ES"/>
        </w:rPr>
        <w:t>213.-Beneficiarios del régimen</w:t>
      </w:r>
      <w:r w:rsidRPr="00186F49">
        <w:rPr>
          <w:rFonts w:ascii="Arial" w:eastAsia="Times New Roman" w:hAnsi="Arial" w:cs="Arial"/>
          <w:kern w:val="0"/>
          <w:szCs w:val="24"/>
          <w:lang w:eastAsia="es-ES"/>
        </w:rPr>
        <w:t>. Será beneficiaria del régimen subsidiado toda la población pobre y vulnerable, en los términos del artículo 157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previa recomendación del consejo nacional de seguridad social en salud definirá los criterios generales que deben ser aplicados por las entidades territoriales para definir los beneficiarios del sistema, según las normas del régimen subsidiado. En todo caso, el carácter del subsidio, que podrá ser una proporción variable de la unidad de pago por capitación, se establecerá según la capacidad económica de las personas, medida en función de sus ingresos, nivel educativo, tamaño de la familia y la situación sanitaria y geográfica de su vivienda.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personas que cumplan con los criterios establecidos por el consejo nacional de seguridad social en salud como posibles beneficiarios del régimen de subsidios se inscribirán ante la dirección de salud correspondiente, la cual calificará su condición de beneficiario del subsidio, de acuerdo con la reglamentación que se expida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Gobierno Nacional, bajo los lineamientos del consejo nacional de seguridad social en salud, establecerá un régimen de focalización de los subsidios entre la población más pobre y vulnerable del país, en el cual se establezcan los criterios de cofinanciación del subsidio por parte de las entidades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reglamentará la proporción del subsidio de que trata el inciso anterior para aquellos casos particulares en los cuales los artistas y deportistas merezcan un reconocimiento especial.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90" w:name="BM214"/>
      <w:r w:rsidRPr="00186F49">
        <w:rPr>
          <w:rFonts w:ascii="Arial" w:eastAsia="Times New Roman" w:hAnsi="Arial" w:cs="Arial"/>
          <w:b/>
          <w:bCs/>
          <w:kern w:val="0"/>
          <w:szCs w:val="24"/>
          <w:lang w:eastAsia="es-ES"/>
        </w:rPr>
        <w:t> </w:t>
      </w:r>
      <w:bookmarkStart w:id="91" w:name="214"/>
      <w:bookmarkEnd w:id="90"/>
      <w:r w:rsidRPr="00186F49">
        <w:rPr>
          <w:rFonts w:ascii="Arial" w:eastAsia="Times New Roman" w:hAnsi="Arial" w:cs="Arial"/>
          <w:b/>
          <w:bCs/>
          <w:kern w:val="0"/>
          <w:szCs w:val="24"/>
          <w:lang w:eastAsia="es-ES"/>
        </w:rPr>
        <w:t> </w:t>
      </w:r>
      <w:bookmarkEnd w:id="91"/>
      <w:r w:rsidRPr="00186F49">
        <w:rPr>
          <w:rFonts w:ascii="Arial" w:eastAsia="Times New Roman" w:hAnsi="Arial" w:cs="Arial"/>
          <w:b/>
          <w:bCs/>
          <w:kern w:val="0"/>
          <w:szCs w:val="24"/>
          <w:lang w:eastAsia="es-ES"/>
        </w:rPr>
        <w:t>214.-Recursos del régimen</w:t>
      </w:r>
      <w:r w:rsidRPr="00186F49">
        <w:rPr>
          <w:rFonts w:ascii="Arial" w:eastAsia="Times New Roman" w:hAnsi="Arial" w:cs="Arial"/>
          <w:kern w:val="0"/>
          <w:szCs w:val="24"/>
          <w:lang w:eastAsia="es-ES"/>
        </w:rPr>
        <w:t>.  </w:t>
      </w:r>
      <w:hyperlink r:id="rId216" w:anchor="11" w:history="1">
        <w:r w:rsidRPr="00186F49">
          <w:rPr>
            <w:rFonts w:ascii="Arial" w:eastAsia="Times New Roman" w:hAnsi="Arial" w:cs="Arial"/>
            <w:color w:val="0000FF"/>
            <w:kern w:val="0"/>
            <w:szCs w:val="24"/>
            <w:u w:val="single"/>
            <w:lang w:eastAsia="es-ES"/>
          </w:rPr>
          <w:t>Modificado por el art. 11, Ley 1122 de 2007</w:t>
        </w:r>
      </w:hyperlink>
      <w:r w:rsidRPr="00186F49">
        <w:rPr>
          <w:rFonts w:ascii="Arial" w:eastAsia="Times New Roman" w:hAnsi="Arial" w:cs="Arial"/>
          <w:kern w:val="0"/>
          <w:szCs w:val="24"/>
          <w:lang w:eastAsia="es-ES"/>
        </w:rPr>
        <w:t xml:space="preserve">, </w:t>
      </w:r>
      <w:hyperlink r:id="rId217" w:anchor="17" w:history="1">
        <w:r w:rsidRPr="00186F49">
          <w:rPr>
            <w:rFonts w:ascii="Arial" w:eastAsia="Times New Roman" w:hAnsi="Arial" w:cs="Arial"/>
            <w:color w:val="0000FF"/>
            <w:kern w:val="0"/>
            <w:szCs w:val="24"/>
            <w:u w:val="single"/>
            <w:lang w:eastAsia="es-ES"/>
          </w:rPr>
          <w:t>Adicionado por el art. 17, Ley 1151 de 2007</w:t>
        </w:r>
      </w:hyperlink>
      <w:r w:rsidRPr="00186F49">
        <w:rPr>
          <w:rFonts w:ascii="Arial" w:eastAsia="Times New Roman" w:hAnsi="Arial" w:cs="Arial"/>
          <w:kern w:val="0"/>
          <w:szCs w:val="24"/>
          <w:lang w:eastAsia="es-ES"/>
        </w:rPr>
        <w:t xml:space="preserve">, </w:t>
      </w:r>
      <w:hyperlink r:id="rId218" w:anchor="0" w:history="1">
        <w:r w:rsidRPr="00186F49">
          <w:rPr>
            <w:rFonts w:ascii="Arial" w:eastAsia="Times New Roman" w:hAnsi="Arial" w:cs="Arial"/>
            <w:color w:val="0000FF"/>
            <w:kern w:val="0"/>
            <w:szCs w:val="24"/>
            <w:u w:val="single"/>
            <w:lang w:eastAsia="es-ES"/>
          </w:rPr>
          <w:t>Reglamentado parcialmente por el Decreto Nacional 3510 de 2009</w:t>
        </w:r>
      </w:hyperlink>
      <w:r w:rsidRPr="00186F49">
        <w:rPr>
          <w:rFonts w:ascii="Arial" w:eastAsia="Times New Roman" w:hAnsi="Arial" w:cs="Arial"/>
          <w:kern w:val="0"/>
          <w:szCs w:val="24"/>
          <w:lang w:eastAsia="es-ES"/>
        </w:rPr>
        <w:t xml:space="preserve">.   El régimen subsidiado se financiará con los siguientes recursos: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a)  15 puntos como mínimo de las transferencias de inversión social destinadas a salud de que trata el numeral 2 del artículo 22 de la Ley 60 de 1993 (7). Los 10 puntos restantes deberán invertirse de conformidad con el numeral 2 del artículo 21 de la Ley 60 de 1993, exceptuando el pago de subsidios. Adicionalmente, durante el período 1994-1997 10 puntos de la transferencia de libre asignación de que trata el parágrafo del artículo 22 de dicha ley deberán destinarse a dotación, mantenimiento y construcción de infraestructura de prestación de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b)  Los recursos propios y aquellos provenientes de </w:t>
      </w:r>
      <w:proofErr w:type="spellStart"/>
      <w:r w:rsidRPr="00186F49">
        <w:rPr>
          <w:rFonts w:ascii="Arial" w:eastAsia="Times New Roman" w:hAnsi="Arial" w:cs="Arial"/>
          <w:kern w:val="0"/>
          <w:szCs w:val="24"/>
          <w:lang w:eastAsia="es-ES"/>
        </w:rPr>
        <w:t>Ecosalud</w:t>
      </w:r>
      <w:proofErr w:type="spellEnd"/>
      <w:r w:rsidRPr="00186F49">
        <w:rPr>
          <w:rFonts w:ascii="Arial" w:eastAsia="Times New Roman" w:hAnsi="Arial" w:cs="Arial"/>
          <w:kern w:val="0"/>
          <w:szCs w:val="24"/>
          <w:lang w:eastAsia="es-ES"/>
        </w:rPr>
        <w:t xml:space="preserve"> que los departamentos y municipios destinen al régimen de subsidios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Los recursos del situado fiscal y de las rentas cedidas a los departamentos que se requieran para financiar al menos las intervenciones de segundo y tercer nivel del plan de salud de los afiliados al régimen subsidiado, conforme a la gradualidad de que tratan los artículos 161 y 240 del presente libro;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Los recursos para subsidios del fondo de solidaridad y garantía que se describen en el artículo 221 de la presente ley, y</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kern w:val="0"/>
          <w:szCs w:val="24"/>
          <w:lang w:eastAsia="es-ES"/>
        </w:rPr>
        <w:t xml:space="preserve">e)  El 15% de los recursos adicionales que a partir de 1997 reciban los municipios, distritos y departamentos como participaciones y transferencias por concepto del impuesto de renta sobre la producción de las empresas de la industria petrolera causada en la zona de </w:t>
      </w:r>
      <w:proofErr w:type="spellStart"/>
      <w:r w:rsidRPr="00186F49">
        <w:rPr>
          <w:rFonts w:ascii="Arial" w:eastAsia="Times New Roman" w:hAnsi="Arial" w:cs="Arial"/>
          <w:kern w:val="0"/>
          <w:szCs w:val="24"/>
          <w:lang w:eastAsia="es-ES"/>
        </w:rPr>
        <w:t>Cupiagua</w:t>
      </w:r>
      <w:proofErr w:type="spellEnd"/>
      <w:r w:rsidRPr="00186F49">
        <w:rPr>
          <w:rFonts w:ascii="Arial" w:eastAsia="Times New Roman" w:hAnsi="Arial" w:cs="Arial"/>
          <w:kern w:val="0"/>
          <w:szCs w:val="24"/>
          <w:lang w:eastAsia="es-ES"/>
        </w:rPr>
        <w:t xml:space="preserve"> y </w:t>
      </w:r>
      <w:proofErr w:type="spellStart"/>
      <w:r w:rsidRPr="00186F49">
        <w:rPr>
          <w:rFonts w:ascii="Arial" w:eastAsia="Times New Roman" w:hAnsi="Arial" w:cs="Arial"/>
          <w:kern w:val="0"/>
          <w:szCs w:val="24"/>
          <w:lang w:eastAsia="es-ES"/>
        </w:rPr>
        <w:t>Cusiana</w:t>
      </w:r>
      <w:proofErr w:type="spellEnd"/>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 xml:space="preserve">Ver numeral 2 articulo 21 y 22 de la Ley 60 de 1993.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Los recursos que, conforme a este artículo, destinen las direcciones seccionales, distritales y locales de salud al régimen de subsidios en salud, se manejarán como una cuenta especial aparte del resto de recursos dentro del respectivo fondo seccional, distrital y local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A partir del primero de enero de 1995, el presupuesto de inversión de los recursos de libre asignación destinados a salud por el literal a) de este artículo deberá ser aprobado por la autoridad departamental de salud. Si la autoridad departamental de salud certifica que la infraestructura de prestación de servicios del respectivo municipio está debidamente dotada, podrá autorizar la destinación de los recursos para inversión a las otras finalidades de que trata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92" w:name="BM215"/>
      <w:r w:rsidRPr="00186F49">
        <w:rPr>
          <w:rFonts w:ascii="Arial" w:eastAsia="Times New Roman" w:hAnsi="Arial" w:cs="Arial"/>
          <w:b/>
          <w:bCs/>
          <w:kern w:val="0"/>
          <w:szCs w:val="24"/>
          <w:lang w:eastAsia="es-ES"/>
        </w:rPr>
        <w:t> </w:t>
      </w:r>
      <w:bookmarkStart w:id="93" w:name="215"/>
      <w:bookmarkEnd w:id="92"/>
      <w:r w:rsidRPr="00186F49">
        <w:rPr>
          <w:rFonts w:ascii="Arial" w:eastAsia="Times New Roman" w:hAnsi="Arial" w:cs="Arial"/>
          <w:b/>
          <w:bCs/>
          <w:kern w:val="0"/>
          <w:szCs w:val="24"/>
          <w:lang w:eastAsia="es-ES"/>
        </w:rPr>
        <w:t> </w:t>
      </w:r>
      <w:bookmarkEnd w:id="93"/>
      <w:r w:rsidRPr="00186F49">
        <w:rPr>
          <w:rFonts w:ascii="Arial" w:eastAsia="Times New Roman" w:hAnsi="Arial" w:cs="Arial"/>
          <w:b/>
          <w:bCs/>
          <w:kern w:val="0"/>
          <w:szCs w:val="24"/>
          <w:lang w:eastAsia="es-ES"/>
        </w:rPr>
        <w:t>215.-Administración del régimen subsidiado</w:t>
      </w:r>
      <w:r w:rsidRPr="00186F49">
        <w:rPr>
          <w:rFonts w:ascii="Arial" w:eastAsia="Times New Roman" w:hAnsi="Arial" w:cs="Arial"/>
          <w:kern w:val="0"/>
          <w:szCs w:val="24"/>
          <w:lang w:eastAsia="es-ES"/>
        </w:rPr>
        <w:t>. </w:t>
      </w:r>
      <w:hyperlink r:id="rId219" w:anchor="0" w:history="1">
        <w:r w:rsidRPr="00186F49">
          <w:rPr>
            <w:rFonts w:ascii="Arial" w:eastAsia="Times New Roman" w:hAnsi="Arial" w:cs="Arial"/>
            <w:color w:val="0000FF"/>
            <w:kern w:val="0"/>
            <w:szCs w:val="24"/>
            <w:u w:val="single"/>
            <w:lang w:eastAsia="es-ES"/>
          </w:rPr>
          <w:t>Modificado parcialmente por el Decreto Nacional 132 de 2010</w:t>
        </w:r>
      </w:hyperlink>
      <w:r w:rsidRPr="00186F49">
        <w:rPr>
          <w:rFonts w:ascii="Arial" w:eastAsia="Times New Roman" w:hAnsi="Arial" w:cs="Arial"/>
          <w:kern w:val="0"/>
          <w:szCs w:val="24"/>
          <w:lang w:eastAsia="es-ES"/>
        </w:rPr>
        <w:t>.  Las direcciones locales, distritales o departamentales de salud suscribirán contratos de administración del subsidio con las entidades promotoras de salud que afilien a los beneficiarios del subsidio. Estos contratos se financiarán con los recursos del fondo de solidaridad y garantía y los recursos del subsector oficial de salud que se destinen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promotoras de salud que afilien a los beneficiarios del régimen subsidiado prestarán, directa o indirectamente, los servicios contenidos en el plan de salud obligatorio.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PARAGRAFO.</w:t>
      </w:r>
      <w:r w:rsidRPr="00186F49">
        <w:rPr>
          <w:rFonts w:ascii="Arial" w:eastAsia="Times New Roman" w:hAnsi="Arial" w:cs="Arial"/>
          <w:kern w:val="0"/>
          <w:szCs w:val="24"/>
          <w:lang w:eastAsia="es-ES"/>
        </w:rPr>
        <w:t>-El Gobierno Nacional establecerá los requisitos que deberán cumplir las entidades promotoras de salud para administrar los subsidios.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94" w:name="216"/>
      <w:r w:rsidRPr="00186F49">
        <w:rPr>
          <w:rFonts w:ascii="Arial" w:eastAsia="Times New Roman" w:hAnsi="Arial" w:cs="Arial"/>
          <w:b/>
          <w:bCs/>
          <w:kern w:val="0"/>
          <w:szCs w:val="24"/>
          <w:lang w:eastAsia="es-ES"/>
        </w:rPr>
        <w:t> </w:t>
      </w:r>
      <w:bookmarkEnd w:id="94"/>
      <w:r w:rsidRPr="00186F49">
        <w:rPr>
          <w:rFonts w:ascii="Arial" w:eastAsia="Times New Roman" w:hAnsi="Arial" w:cs="Arial"/>
          <w:b/>
          <w:bCs/>
          <w:kern w:val="0"/>
          <w:szCs w:val="24"/>
          <w:lang w:eastAsia="es-ES"/>
        </w:rPr>
        <w:t>216.</w:t>
      </w:r>
      <w:proofErr w:type="gramStart"/>
      <w:r w:rsidRPr="00186F49">
        <w:rPr>
          <w:rFonts w:ascii="Arial" w:eastAsia="Times New Roman" w:hAnsi="Arial" w:cs="Arial"/>
          <w:b/>
          <w:bCs/>
          <w:kern w:val="0"/>
          <w:szCs w:val="24"/>
          <w:lang w:eastAsia="es-ES"/>
        </w:rPr>
        <w:t>- .</w:t>
      </w:r>
      <w:proofErr w:type="gramEnd"/>
      <w:r w:rsidRPr="00186F49">
        <w:rPr>
          <w:rFonts w:ascii="Arial" w:eastAsia="Times New Roman" w:hAnsi="Arial" w:cs="Arial"/>
          <w:b/>
          <w:bCs/>
          <w:kern w:val="0"/>
          <w:szCs w:val="24"/>
          <w:lang w:eastAsia="es-ES"/>
        </w:rPr>
        <w:t xml:space="preserve"> Reglas básicas para la administración del régimen de subsidios en salud</w:t>
      </w:r>
      <w:r w:rsidRPr="00186F49">
        <w:rPr>
          <w:rFonts w:ascii="Arial" w:eastAsia="Times New Roman" w:hAnsi="Arial" w:cs="Arial"/>
          <w:kern w:val="0"/>
          <w:szCs w:val="24"/>
          <w:lang w:eastAsia="es-ES"/>
        </w:rPr>
        <w:t>. </w:t>
      </w:r>
      <w:hyperlink r:id="rId220" w:anchor="0" w:history="1">
        <w:r w:rsidRPr="00186F49">
          <w:rPr>
            <w:rFonts w:ascii="Arial" w:eastAsia="Times New Roman" w:hAnsi="Arial" w:cs="Arial"/>
            <w:color w:val="0000FF"/>
            <w:kern w:val="0"/>
            <w:szCs w:val="24"/>
            <w:u w:val="single"/>
            <w:lang w:eastAsia="es-ES"/>
          </w:rPr>
          <w:t>Reglamentado por el Decreto Nacional 163 de 2004</w:t>
        </w:r>
      </w:hyperlink>
      <w:r w:rsidRPr="00186F49">
        <w:rPr>
          <w:rFonts w:ascii="Arial" w:eastAsia="Times New Roman" w:hAnsi="Arial" w:cs="Arial"/>
          <w:kern w:val="0"/>
          <w:szCs w:val="24"/>
          <w:lang w:eastAsia="es-ES"/>
        </w:rPr>
        <w:t>, </w:t>
      </w:r>
      <w:hyperlink r:id="rId221" w:anchor="0" w:history="1">
        <w:r w:rsidRPr="00186F49">
          <w:rPr>
            <w:rFonts w:ascii="Arial" w:eastAsia="Times New Roman" w:hAnsi="Arial" w:cs="Arial"/>
            <w:color w:val="0000FF"/>
            <w:kern w:val="0"/>
            <w:szCs w:val="24"/>
            <w:u w:val="single"/>
            <w:lang w:eastAsia="es-ES"/>
          </w:rPr>
          <w:t>Modificado parcialmente por el Decreto Nacional 132 de 2010</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1.  La dirección seccional o local de salud contratará preferencialmente la administración de los recursos del subsidio con empresas promotoras de salud de carácter comunitario tales como las empresas solidarias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Cuando la contratación se haga con una entidad que no sea propiedad de los usuarios como las empresas solidarias de salud, la contratación entre las direcciones seccionales o locales de salud con las entidades promotoras de salud se realizará mediante concurso y se regirá por el régimen privado, pudiendo contener cláusulas exorbitantes propias del régimen de derecho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Un representante de los beneficiarios del régimen subsidiado participará como miembro de las juntas de licitaciones y adquisiciones o del órgano que hace sus veces, en la sesión que defina la entidad promotora de salud con quien la dirección seccional o local de salud hará el contrato. El Gobierno Nacional reglamentará la materia especialmente lo relativo a los procedimientos de selección de los representantes de los beneficiarios.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Si se declara la caducidad de algún contrato con las entidades promotoras de salud que incumplan las condiciones de calidad y cobertura, la entidad territorial asumirá la prestación del servicio mientras se selecciona una nueva entidad promotora.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Los beneficiarios del sistema subsidiado contribuirán a la financiación parcial de la organización y prestación de servicios de salud, según su condición socioeconómica, conforme a la reglamentación que expida el consejo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Las direcciones locales de salud, entre sí o con las direcciones seccionales de salud podrán asociarse para la contratación de los servicios de una entidad promotora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Las entidades promotoras de salud que afilien beneficiarios del régimen subsidiado recibirán de los fondos seccionales, distritales y locales de salud, de la cuenta especial de que trata el parágrafo del artículo 214, por cada uno de los afiliados hasta el valor de la unidad de pago por capitación correspondiente, de conformidad con lo dispuesto en el artículo 213 de la presente ley. Durante el período de transición el valor de la unidad de pago por capitación será aquél correspondiente al plan de salud obligatorio de que trata el parágrafo 2º del artículo 162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 xml:space="preserve">Los recursos públicos recibidos por las entidades promotoras de salud y/o las instituciones prestadoras de servicios se </w:t>
      </w:r>
      <w:r w:rsidRPr="00186F49">
        <w:rPr>
          <w:rFonts w:ascii="Arial" w:eastAsia="Times New Roman" w:hAnsi="Arial" w:cs="Arial"/>
          <w:kern w:val="0"/>
          <w:szCs w:val="24"/>
          <w:lang w:eastAsia="es-ES"/>
        </w:rPr>
        <w:lastRenderedPageBreak/>
        <w:t>entenderán destinados a la compra y venta de servicios en los términos previstos en el artículo 29 de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El 50% de los recursos del subsidio para ampliación de cobertura se distribuirá cada año entre los beneficiarios del sector rural y las comunidades indígenas, hasta lograr su cobertura total.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217.-De la participación de las cajas de compensación familiar.</w:t>
      </w:r>
      <w:r w:rsidRPr="00186F49">
        <w:rPr>
          <w:rFonts w:ascii="Arial" w:eastAsia="Times New Roman" w:hAnsi="Arial" w:cs="Arial"/>
          <w:kern w:val="0"/>
          <w:szCs w:val="24"/>
          <w:lang w:eastAsia="es-ES"/>
        </w:rPr>
        <w:t xml:space="preserve"> Las cajas de compensación familiar destinarán el 5% de los recaudos del subsidio familiar que administran, para financiar el régimen de subsidios en salud, salvo aquellas cajas que obtengan un </w:t>
      </w:r>
      <w:proofErr w:type="spellStart"/>
      <w:r w:rsidRPr="00186F49">
        <w:rPr>
          <w:rFonts w:ascii="Arial" w:eastAsia="Times New Roman" w:hAnsi="Arial" w:cs="Arial"/>
          <w:kern w:val="0"/>
          <w:szCs w:val="24"/>
          <w:lang w:eastAsia="es-ES"/>
        </w:rPr>
        <w:t>cuociente</w:t>
      </w:r>
      <w:proofErr w:type="spellEnd"/>
      <w:r w:rsidRPr="00186F49">
        <w:rPr>
          <w:rFonts w:ascii="Arial" w:eastAsia="Times New Roman" w:hAnsi="Arial" w:cs="Arial"/>
          <w:kern w:val="0"/>
          <w:szCs w:val="24"/>
          <w:lang w:eastAsia="es-ES"/>
        </w:rPr>
        <w:t xml:space="preserve"> superior al 100% del recaudo del subsidio familiar del respectivo año, las cuales tendrán que destinar un 10%. La aplicación de este </w:t>
      </w:r>
      <w:proofErr w:type="spellStart"/>
      <w:r w:rsidRPr="00186F49">
        <w:rPr>
          <w:rFonts w:ascii="Arial" w:eastAsia="Times New Roman" w:hAnsi="Arial" w:cs="Arial"/>
          <w:kern w:val="0"/>
          <w:szCs w:val="24"/>
          <w:lang w:eastAsia="es-ES"/>
        </w:rPr>
        <w:t>cuociente</w:t>
      </w:r>
      <w:proofErr w:type="spellEnd"/>
      <w:r w:rsidRPr="00186F49">
        <w:rPr>
          <w:rFonts w:ascii="Arial" w:eastAsia="Times New Roman" w:hAnsi="Arial" w:cs="Arial"/>
          <w:kern w:val="0"/>
          <w:szCs w:val="24"/>
          <w:lang w:eastAsia="es-ES"/>
        </w:rPr>
        <w:t>, para todos sus efectos, se hará de acuerdo con lo establecido en el artículo 67 de la Ley 49 de 1990, y a partir del 15 de febrero de cada año.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cajas de compensación familiar podrán administrar directamente, de acuerdo con la reglamentación que se expida para el efecto, los recursos del régimen subsidiado de que trata el presente artículo. La caja que administre directamente estos recursos constituirá una cuenta independiente del resto de sus rentas y bienes. Las cajas de compensación familiar que no cumplan los requisitos definidos en la reglamentación, deberán girar los recursos del subsidio a la subcuenta de solidaridad del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A partir de la vigencia de la presente ley, el 55% que las cajas de compensación deben destinar al subsidio en dinero, se calculará sobre el saldo que queda después de deducir el 10% de gastos de administración, instalación y funcionamiento, la transferencia respectiva del fondo de subsidio familiar de vivienda, la reserva legal y el aporte a la Superintendencia del Subsidio Familiar y la contribución a que hace referencia el presente artículo.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95" w:name="BM218"/>
      <w:r w:rsidRPr="00186F49">
        <w:rPr>
          <w:rFonts w:ascii="Arial" w:eastAsia="Times New Roman" w:hAnsi="Arial" w:cs="Arial"/>
          <w:b/>
          <w:bCs/>
          <w:kern w:val="0"/>
          <w:szCs w:val="24"/>
          <w:lang w:eastAsia="es-ES"/>
        </w:rPr>
        <w:t> </w:t>
      </w:r>
      <w:bookmarkEnd w:id="95"/>
      <w:r w:rsidRPr="00186F49">
        <w:rPr>
          <w:rFonts w:ascii="Arial" w:eastAsia="Times New Roman" w:hAnsi="Arial" w:cs="Arial"/>
          <w:b/>
          <w:bCs/>
          <w:kern w:val="0"/>
          <w:szCs w:val="24"/>
          <w:lang w:eastAsia="es-ES"/>
        </w:rPr>
        <w:t>ARTICULO. 218.-Creación y operación del fondo</w:t>
      </w:r>
      <w:r w:rsidRPr="00186F49">
        <w:rPr>
          <w:rFonts w:ascii="Arial" w:eastAsia="Times New Roman" w:hAnsi="Arial" w:cs="Arial"/>
          <w:kern w:val="0"/>
          <w:szCs w:val="24"/>
          <w:lang w:eastAsia="es-ES"/>
        </w:rPr>
        <w:t>. Créase el fondo de solidaridad y garantía, como una cuenta adscrita al Ministerio de Salud que se manejará por encargo fiduciario, sin personería jurídica ni planta de personal propia, de conformidad con lo establecido en el estatuto general de la contratación de la administración pública de que trata el artículo 150 de la Constitución Política.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consejo nacional de seguridad social en salud determinará los criterios de utilización y distribución de sus recursos.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219.-Estructura del fondo</w:t>
      </w:r>
      <w:r w:rsidRPr="00186F49">
        <w:rPr>
          <w:rFonts w:ascii="Arial" w:eastAsia="Times New Roman" w:hAnsi="Arial" w:cs="Arial"/>
          <w:kern w:val="0"/>
          <w:szCs w:val="24"/>
          <w:lang w:eastAsia="es-ES"/>
        </w:rPr>
        <w:t>. El fondo tendrá las siguientes subcuentas independientes: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De compensación interna del régimen contributivo;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b)  De solidaridad del régimen de subsidios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De promoción de la salud,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Del seguro de riesgos catastróficos y accidentes de tránsito, según el artículo 167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w:t>
      </w:r>
      <w:hyperlink r:id="rId222" w:anchor="1" w:history="1">
        <w:r w:rsidRPr="00186F49">
          <w:rPr>
            <w:rFonts w:ascii="Arial" w:eastAsia="Times New Roman" w:hAnsi="Arial" w:cs="Arial"/>
            <w:color w:val="0000FF"/>
            <w:kern w:val="0"/>
            <w:szCs w:val="24"/>
            <w:u w:val="single"/>
            <w:lang w:eastAsia="es-ES"/>
          </w:rPr>
          <w:t>Declarado Exequible Sentencia Corte Constitucional 130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220.-Financiación de la subcuenta de compensación</w:t>
      </w:r>
      <w:r w:rsidRPr="00186F49">
        <w:rPr>
          <w:rFonts w:ascii="Arial" w:eastAsia="Times New Roman" w:hAnsi="Arial" w:cs="Arial"/>
          <w:kern w:val="0"/>
          <w:szCs w:val="24"/>
          <w:lang w:eastAsia="es-ES"/>
        </w:rPr>
        <w:t>. Los recursos que financian la compensación en el régimen contributivo provienen de la diferencia entre los ingresos por cotización de sus afiliados y el valor de las unidades de pago por capitación, UPC, que le serán reconocidos por el sistema a cada entidad promotora de salud. Las entidades cuyos ingresos por cotización sean mayores que las unidades de pago por capitación reconocidas trasladarán estos recursos a la subcuenta de compensación, para financiar a las entidades en las que aquéllos sean menores que las últimas.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-La Superintendencia Nacional de Salud realizará el control posterior de las sumas declaradas y tendrá la facultad de imponer las multas que defina el respectivo reglamento.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w:t>
      </w:r>
      <w:hyperlink r:id="rId223" w:anchor="1" w:history="1">
        <w:r w:rsidRPr="00186F49">
          <w:rPr>
            <w:rFonts w:ascii="Arial" w:eastAsia="Times New Roman" w:hAnsi="Arial" w:cs="Arial"/>
            <w:color w:val="0000FF"/>
            <w:kern w:val="0"/>
            <w:szCs w:val="24"/>
            <w:u w:val="single"/>
            <w:lang w:eastAsia="es-ES"/>
          </w:rPr>
          <w:t>Declarado Exequible Sentencia Corte Constitucional 130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96" w:name="BM221"/>
      <w:r w:rsidRPr="00186F49">
        <w:rPr>
          <w:rFonts w:ascii="Arial" w:eastAsia="Times New Roman" w:hAnsi="Arial" w:cs="Arial"/>
          <w:b/>
          <w:bCs/>
          <w:kern w:val="0"/>
          <w:szCs w:val="24"/>
          <w:lang w:eastAsia="es-ES"/>
        </w:rPr>
        <w:t> </w:t>
      </w:r>
      <w:bookmarkEnd w:id="96"/>
      <w:r w:rsidRPr="00186F49">
        <w:rPr>
          <w:rFonts w:ascii="Arial" w:eastAsia="Times New Roman" w:hAnsi="Arial" w:cs="Arial"/>
          <w:b/>
          <w:bCs/>
          <w:kern w:val="0"/>
          <w:szCs w:val="24"/>
          <w:lang w:eastAsia="es-ES"/>
        </w:rPr>
        <w:t>ARTICULO. 221.-Financiación de la subcuenta de solidaridad.</w:t>
      </w:r>
      <w:r w:rsidRPr="00186F49">
        <w:rPr>
          <w:rFonts w:ascii="Arial" w:eastAsia="Times New Roman" w:hAnsi="Arial" w:cs="Arial"/>
          <w:kern w:val="0"/>
          <w:szCs w:val="24"/>
          <w:lang w:eastAsia="es-ES"/>
        </w:rPr>
        <w:t xml:space="preserve"> Para cofinanciar con los entes territoriales los subsidios a los usuarios afiliados según las normas del régimen subsidiado, el fondo de solidaridad y garantía </w:t>
      </w:r>
      <w:proofErr w:type="gramStart"/>
      <w:r w:rsidRPr="00186F49">
        <w:rPr>
          <w:rFonts w:ascii="Arial" w:eastAsia="Times New Roman" w:hAnsi="Arial" w:cs="Arial"/>
          <w:kern w:val="0"/>
          <w:szCs w:val="24"/>
          <w:lang w:eastAsia="es-ES"/>
        </w:rPr>
        <w:t>contará</w:t>
      </w:r>
      <w:proofErr w:type="gramEnd"/>
      <w:r w:rsidRPr="00186F49">
        <w:rPr>
          <w:rFonts w:ascii="Arial" w:eastAsia="Times New Roman" w:hAnsi="Arial" w:cs="Arial"/>
          <w:kern w:val="0"/>
          <w:szCs w:val="24"/>
          <w:lang w:eastAsia="es-ES"/>
        </w:rPr>
        <w:t xml:space="preserve"> con los siguientes recursos: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Un punto de la cotización de solidaridad del régimen contributivo, según lo dispuesto en el artículo 203. Esta cotización será girada por cada entidad promotora de salud directamente a la subcuenta de solidaridad del fondo;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El monto que las cajas de compensación familiar, de conformidad con el artículo 217 de la presente ley, destinen a los subsidios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Un aporte del presupuesto nacional de la siguiente forma: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1.  En los años 1994, 1995 y 1996 no </w:t>
      </w:r>
      <w:proofErr w:type="gramStart"/>
      <w:r w:rsidRPr="00186F49">
        <w:rPr>
          <w:rFonts w:ascii="Arial" w:eastAsia="Times New Roman" w:hAnsi="Arial" w:cs="Arial"/>
          <w:kern w:val="0"/>
          <w:szCs w:val="24"/>
          <w:lang w:eastAsia="es-ES"/>
        </w:rPr>
        <w:t>deberá</w:t>
      </w:r>
      <w:proofErr w:type="gramEnd"/>
      <w:r w:rsidRPr="00186F49">
        <w:rPr>
          <w:rFonts w:ascii="Arial" w:eastAsia="Times New Roman" w:hAnsi="Arial" w:cs="Arial"/>
          <w:kern w:val="0"/>
          <w:szCs w:val="24"/>
          <w:lang w:eastAsia="es-ES"/>
        </w:rPr>
        <w:t xml:space="preserve"> ser inferior a los recursos generados por concepto de los literales a) y b).</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w:t>
      </w:r>
      <w:r w:rsidRPr="00186F49">
        <w:rPr>
          <w:rFonts w:ascii="Arial" w:eastAsia="Times New Roman" w:hAnsi="Arial" w:cs="Arial"/>
          <w:b/>
          <w:bCs/>
          <w:kern w:val="0"/>
          <w:szCs w:val="24"/>
          <w:lang w:eastAsia="es-ES"/>
        </w:rPr>
        <w:t xml:space="preserve"> </w:t>
      </w:r>
      <w:hyperlink r:id="rId224" w:anchor="34" w:history="1">
        <w:r w:rsidRPr="00186F49">
          <w:rPr>
            <w:rFonts w:ascii="Arial" w:eastAsia="Times New Roman" w:hAnsi="Arial" w:cs="Arial"/>
            <w:b/>
            <w:bCs/>
            <w:color w:val="0000FF"/>
            <w:kern w:val="0"/>
            <w:szCs w:val="24"/>
            <w:u w:val="single"/>
            <w:lang w:eastAsia="es-ES"/>
          </w:rPr>
          <w:t>Modificado por la Ley 344 de 1996 artículo 34.</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El art. 34 de la Ley 344 de 1996, fue declarado INEXEQUIBLE por la Corte Constitucional, mediante Sentencia</w:t>
      </w:r>
      <w:r w:rsidRPr="00186F49">
        <w:rPr>
          <w:rFonts w:ascii="Arial" w:eastAsia="Times New Roman" w:hAnsi="Arial" w:cs="Arial"/>
          <w:kern w:val="0"/>
          <w:szCs w:val="24"/>
          <w:lang w:eastAsia="es-ES"/>
        </w:rPr>
        <w:t xml:space="preserve"> </w:t>
      </w:r>
      <w:hyperlink r:id="rId225" w:anchor="0" w:history="1">
        <w:r w:rsidRPr="00186F49">
          <w:rPr>
            <w:rFonts w:ascii="Arial" w:eastAsia="Times New Roman" w:hAnsi="Arial" w:cs="Arial"/>
            <w:color w:val="0000FF"/>
            <w:kern w:val="0"/>
            <w:szCs w:val="24"/>
            <w:u w:val="single"/>
            <w:lang w:eastAsia="es-ES"/>
          </w:rPr>
          <w:t>C-1165</w:t>
        </w:r>
      </w:hyperlink>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de 2000</w:t>
      </w:r>
      <w:r w:rsidRPr="00186F49">
        <w:rPr>
          <w:rFonts w:ascii="Arial" w:eastAsia="Times New Roman" w:hAnsi="Arial" w:cs="Arial"/>
          <w:kern w:val="0"/>
          <w:szCs w:val="24"/>
          <w:lang w:eastAsia="es-ES"/>
        </w:rPr>
        <w:t>. A partir de 1997 podrá llegar a ser igual a los recursos generados por concepto del literal a) del presente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Los rendimientos financieros generados por la inversión de los anteriores recursos;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 xml:space="preserve">e)  Los rendimientos financieros de la inversión de los ingresos derivados de la enajenación de las acciones y participaciones de la Nación en las empresas públicas o mixtas que se destinen a este fin por el </w:t>
      </w:r>
      <w:proofErr w:type="spellStart"/>
      <w:r w:rsidRPr="00186F49">
        <w:rPr>
          <w:rFonts w:ascii="Arial" w:eastAsia="Times New Roman" w:hAnsi="Arial" w:cs="Arial"/>
          <w:kern w:val="0"/>
          <w:szCs w:val="24"/>
          <w:lang w:eastAsia="es-ES"/>
        </w:rPr>
        <w:t>Conpes</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f)  Los recursos provenientes del impuesto de remesas de utilidades de empresas petroleras correspondientes a la producción de la zona </w:t>
      </w:r>
      <w:proofErr w:type="spellStart"/>
      <w:r w:rsidRPr="00186F49">
        <w:rPr>
          <w:rFonts w:ascii="Arial" w:eastAsia="Times New Roman" w:hAnsi="Arial" w:cs="Arial"/>
          <w:kern w:val="0"/>
          <w:szCs w:val="24"/>
          <w:lang w:eastAsia="es-ES"/>
        </w:rPr>
        <w:t>Cusiana</w:t>
      </w:r>
      <w:proofErr w:type="spellEnd"/>
      <w:r w:rsidRPr="00186F49">
        <w:rPr>
          <w:rFonts w:ascii="Arial" w:eastAsia="Times New Roman" w:hAnsi="Arial" w:cs="Arial"/>
          <w:kern w:val="0"/>
          <w:szCs w:val="24"/>
          <w:lang w:eastAsia="es-ES"/>
        </w:rPr>
        <w:t xml:space="preserve"> y </w:t>
      </w:r>
      <w:proofErr w:type="spellStart"/>
      <w:r w:rsidRPr="00186F49">
        <w:rPr>
          <w:rFonts w:ascii="Arial" w:eastAsia="Times New Roman" w:hAnsi="Arial" w:cs="Arial"/>
          <w:kern w:val="0"/>
          <w:szCs w:val="24"/>
          <w:lang w:eastAsia="es-ES"/>
        </w:rPr>
        <w:t>Cupiagua</w:t>
      </w:r>
      <w:proofErr w:type="spellEnd"/>
      <w:r w:rsidRPr="00186F49">
        <w:rPr>
          <w:rFonts w:ascii="Arial" w:eastAsia="Times New Roman" w:hAnsi="Arial" w:cs="Arial"/>
          <w:kern w:val="0"/>
          <w:szCs w:val="24"/>
          <w:lang w:eastAsia="es-ES"/>
        </w:rPr>
        <w:t>. Estos recursos se deducirán de la base de cálculo de los ingresos corrientes a que hace referencia la Ley 60 de 1993,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g)  Los recursos del IVA social destinados a los planes de ampliación de la cobertura de seguridad social a las madres comunitarias del ICBF de que trata la Ley 6ª de 1992.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Los recursos de solidaridad se destinarán a cofinanciar los subsidios para los colombianos más pobres y vulnerables, los cuales se transferirán, de acuerdo con la reglamentación que para el efecto adopte el Gobierno Nacional, a la cuenta especial que deberá establecerse en los fondos seccionales, distritales y locales para el manejo de los subsidios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w:t>
      </w:r>
      <w:bookmarkStart w:id="97" w:name="221.p2"/>
      <w:r w:rsidRPr="00186F49">
        <w:rPr>
          <w:rFonts w:ascii="Arial" w:eastAsia="Times New Roman" w:hAnsi="Arial" w:cs="Arial"/>
          <w:b/>
          <w:bCs/>
          <w:kern w:val="0"/>
          <w:szCs w:val="24"/>
          <w:lang w:eastAsia="es-ES"/>
        </w:rPr>
        <w:t> </w:t>
      </w:r>
      <w:bookmarkEnd w:id="97"/>
      <w:r w:rsidRPr="00186F49">
        <w:rPr>
          <w:rFonts w:ascii="Arial" w:eastAsia="Times New Roman" w:hAnsi="Arial" w:cs="Arial"/>
          <w:b/>
          <w:bCs/>
          <w:kern w:val="0"/>
          <w:szCs w:val="24"/>
          <w:lang w:eastAsia="es-ES"/>
        </w:rPr>
        <w:t>2º-</w:t>
      </w:r>
      <w:r w:rsidRPr="00186F49">
        <w:rPr>
          <w:rFonts w:ascii="Arial" w:eastAsia="Times New Roman" w:hAnsi="Arial" w:cs="Arial"/>
          <w:kern w:val="0"/>
          <w:szCs w:val="24"/>
          <w:lang w:eastAsia="es-ES"/>
        </w:rPr>
        <w:t xml:space="preserve"> </w:t>
      </w:r>
      <w:hyperlink r:id="rId226" w:anchor="44" w:history="1">
        <w:r w:rsidRPr="00186F49">
          <w:rPr>
            <w:rFonts w:ascii="Arial" w:eastAsia="Times New Roman" w:hAnsi="Arial" w:cs="Arial"/>
            <w:b/>
            <w:bCs/>
            <w:color w:val="0000FF"/>
            <w:kern w:val="0"/>
            <w:szCs w:val="24"/>
            <w:u w:val="single"/>
            <w:lang w:eastAsia="es-ES"/>
          </w:rPr>
          <w:t xml:space="preserve">Derogado el parágrafo 2º, por la Ley 344 de 1996 artículo 44. </w:t>
        </w:r>
      </w:hyperlink>
      <w:r w:rsidRPr="00186F49">
        <w:rPr>
          <w:rFonts w:ascii="Arial" w:eastAsia="Times New Roman" w:hAnsi="Arial" w:cs="Arial"/>
          <w:kern w:val="0"/>
          <w:szCs w:val="24"/>
          <w:lang w:eastAsia="es-ES"/>
        </w:rPr>
        <w:t>Anualmente, en el presupuesto general de la Nación, se incluirá la partida correspondiente a los aportes que debe hacer el Gobierno Nacional al fondo de solidaridad y garantía. Para definir el monto de las apropiaciones se tomará como base lo reportado por el fondo de solidaridad y garantía en la vigencia inmediatamente anterior al de preparación y aprobación de la ley de presupuesto y ajustados con base en la variación del índice de precios al consumidor, certificado por el DANE. El Congreso de la República se abstendrá de dar trámite al proyecto de presupuesto que no incluya las partidas correspondientes. Los funcionarios que no dispongan las apropiaciones y los giros oportunos incurrirán en causal de mala conducta que será sancionada con arreglo al régimen disciplinario vigente.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27" w:anchor="1" w:history="1">
        <w:r w:rsidRPr="00186F49">
          <w:rPr>
            <w:rFonts w:ascii="Arial" w:eastAsia="Times New Roman" w:hAnsi="Arial" w:cs="Arial"/>
            <w:color w:val="0000FF"/>
            <w:kern w:val="0"/>
            <w:szCs w:val="24"/>
            <w:u w:val="single"/>
            <w:lang w:eastAsia="es-ES"/>
          </w:rPr>
          <w:t>Ver Sentencia Corte Constitucional 130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222.-Financiación de la subcuenta de promoción de la salud.</w:t>
      </w:r>
      <w:r w:rsidRPr="00186F49">
        <w:rPr>
          <w:rFonts w:ascii="Arial" w:eastAsia="Times New Roman" w:hAnsi="Arial" w:cs="Arial"/>
          <w:kern w:val="0"/>
          <w:szCs w:val="24"/>
          <w:lang w:eastAsia="es-ES"/>
        </w:rPr>
        <w:t xml:space="preserve"> Para la financiación de las actividades de educación, información y fomento de la salud y de prevención secundaria y terciaria de la enfermedad, el consejo nacional de seguridad social en salud definirá el porcentaje del total de los recaudos por cotización de que trata el artículo 204 que se destinará a este fin, el cual no podrá ser superior a un punto de la cotización del régimen contributivo de que trata el artículo 204 de la presente ley. Estos recursos serán complementarios de las apropiaciones que haga el Ministerio de Salud para tal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recursos previstos en el presente artículo se podrán destinar al pago de las actividades que realicen las entidades promotoras de salud y que el consejo nacional de seguridad social en salud considere son las que mayor impacto tienen en la prevención de enfermedades.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223.-Financiación de la subcuenta de enfermedades catastróficas y accidentes de tránsito.</w:t>
      </w:r>
      <w:r w:rsidRPr="00186F49">
        <w:rPr>
          <w:rFonts w:ascii="Arial" w:eastAsia="Times New Roman" w:hAnsi="Arial" w:cs="Arial"/>
          <w:kern w:val="0"/>
          <w:szCs w:val="24"/>
          <w:lang w:eastAsia="es-ES"/>
        </w:rPr>
        <w:t xml:space="preserve"> El cubrimiento de las enfermedades catastróficas definidas en el artículo 166 de la presente ley se financiará de la siguiente forma: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  Los recursos del </w:t>
      </w:r>
      <w:proofErr w:type="spellStart"/>
      <w:r w:rsidRPr="00186F49">
        <w:rPr>
          <w:rFonts w:ascii="Arial" w:eastAsia="Times New Roman" w:hAnsi="Arial" w:cs="Arial"/>
          <w:kern w:val="0"/>
          <w:szCs w:val="24"/>
          <w:lang w:eastAsia="es-ES"/>
        </w:rPr>
        <w:t>Fonsat</w:t>
      </w:r>
      <w:proofErr w:type="spellEnd"/>
      <w:r w:rsidRPr="00186F49">
        <w:rPr>
          <w:rFonts w:ascii="Arial" w:eastAsia="Times New Roman" w:hAnsi="Arial" w:cs="Arial"/>
          <w:kern w:val="0"/>
          <w:szCs w:val="24"/>
          <w:lang w:eastAsia="es-ES"/>
        </w:rPr>
        <w:t>, creado por el Decreto-Ley 1032 de 1991, de conformidad con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Una contribución equivalente al 50% del valor de la prima anual establecida para el seguro obligatorio de accidente de tránsito, que se cobrará en adición a ella,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Cuando se extinga el fondo de solidaridad y emergencia social de la Presidencia de la República, los aportes presupuestales de este fondo para las víctimas del terrorismo se trasladarán al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-Estos recursos serán complementarios a los recursos que para la atención hospitalaria de las urgencias destinen las entidades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224.-Impuesto social a las armas y municiones</w:t>
      </w:r>
      <w:r w:rsidRPr="00186F49">
        <w:rPr>
          <w:rFonts w:ascii="Arial" w:eastAsia="Times New Roman" w:hAnsi="Arial" w:cs="Arial"/>
          <w:kern w:val="0"/>
          <w:szCs w:val="24"/>
          <w:lang w:eastAsia="es-ES"/>
        </w:rPr>
        <w:t xml:space="preserve">. A partir del 1º de enero de 1996, créase el impuesto social a las armas de fuego que será pagado por quienes las porten en el territorio nacional, y que será cobrado con la expedición o renovación del respectivo permiso y por el término de éste. El recaudo de este impuesto se destinará al fondo de solidaridad previsto en el artículo 221 de esta ley. El impuesto tendrá un monto equivalente al 10% de un salario mínimo mensual. Igualmente, créase el impuesto social a las municiones y explosivos, que se cobrará como un impuesto ad </w:t>
      </w:r>
      <w:proofErr w:type="spellStart"/>
      <w:r w:rsidRPr="00186F49">
        <w:rPr>
          <w:rFonts w:ascii="Arial" w:eastAsia="Times New Roman" w:hAnsi="Arial" w:cs="Arial"/>
          <w:kern w:val="0"/>
          <w:szCs w:val="24"/>
          <w:lang w:eastAsia="es-ES"/>
        </w:rPr>
        <w:t>valórem</w:t>
      </w:r>
      <w:proofErr w:type="spellEnd"/>
      <w:r w:rsidRPr="00186F49">
        <w:rPr>
          <w:rFonts w:ascii="Arial" w:eastAsia="Times New Roman" w:hAnsi="Arial" w:cs="Arial"/>
          <w:kern w:val="0"/>
          <w:szCs w:val="24"/>
          <w:lang w:eastAsia="es-ES"/>
        </w:rPr>
        <w:t xml:space="preserve"> con una tasa del 5%. El gobierno reglamentará los mecanismos de pago y el uso de estos recursos: el plan de beneficios, los beneficiarios y los procedimientos necesarios para su operación.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-Se exceptúan de estos impuestos las armas de fuego y municiones y explosivos que posean las fuerzas armadas y de policía y las entidades de seguridad del Estado.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IV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De la vigilancia y control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225.-Información requerida</w:t>
      </w:r>
      <w:r w:rsidRPr="00186F49">
        <w:rPr>
          <w:rFonts w:ascii="Arial" w:eastAsia="Times New Roman" w:hAnsi="Arial" w:cs="Arial"/>
          <w:kern w:val="0"/>
          <w:szCs w:val="24"/>
          <w:lang w:eastAsia="es-ES"/>
        </w:rPr>
        <w:t>. Las entidades promotoras de salud, cualquiera sea su naturaleza, deberán establecer sistemas de costos, facturación y publicidad. Los sistemas de costo deberán tener como fundamento un presupuesto independiente, que garantice una separación entre ingresos y egresos para cada uno de los servicios prestados, utilizando para el efecto métodos sistematizados. Los sistemas de facturación deberán permitir conocer al usuario, para que éste conserve una factura que incorpore los servicios y los correspondientes costos, discriminando la cuantía subsidiada por el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La superintendencia exigirá en forma periódica, de acuerdo con la reglamentación que se expida, la publicación de la información que estime necesaria de la entidad y de ésta frente al sistema, garantizando con ello la competencia y transparencia necesarias. Igualmente, deberá garantizarse a los usuarios un conocimiento previo de aquellos procedimientos e insumos que determine el Ministerio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226</w:t>
      </w:r>
      <w:r w:rsidRPr="00186F49">
        <w:rPr>
          <w:rFonts w:ascii="Arial" w:eastAsia="Times New Roman" w:hAnsi="Arial" w:cs="Arial"/>
          <w:kern w:val="0"/>
          <w:szCs w:val="24"/>
          <w:lang w:eastAsia="es-ES"/>
        </w:rPr>
        <w:t>.-</w:t>
      </w:r>
      <w:r w:rsidRPr="00186F49">
        <w:rPr>
          <w:rFonts w:ascii="Arial" w:eastAsia="Times New Roman" w:hAnsi="Arial" w:cs="Arial"/>
          <w:b/>
          <w:bCs/>
          <w:kern w:val="0"/>
          <w:szCs w:val="24"/>
          <w:lang w:eastAsia="es-ES"/>
        </w:rPr>
        <w:t>Información para la vigilancia del recaudo</w:t>
      </w:r>
      <w:r w:rsidRPr="00186F49">
        <w:rPr>
          <w:rFonts w:ascii="Arial" w:eastAsia="Times New Roman" w:hAnsi="Arial" w:cs="Arial"/>
          <w:kern w:val="0"/>
          <w:szCs w:val="24"/>
          <w:lang w:eastAsia="es-ES"/>
        </w:rPr>
        <w:t>. La afiliación al sistema general de seguridad social en salud podrá hacerse en forma independiente a la afiliación al régimen general de pensiones.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Superintendencia Nacional de Salud podrá solicitar a las entidades rectoras del régimen general de pensiones la información que permita determinar la evasión y elusión de los aportes por parte de los afiliados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Así mismo, podrá solicitar información a la Administración de Impuestos Nacionales, a las entidades recaudadoras territoriales y a otras entidades que reciban contribuciones sobre la nómina orientada a los mismos efectos. En todo caso, esta información observará la reserva propia de la de carácter tributario.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227.-Control y evaluación de la calidad del servicio de salud</w:t>
      </w:r>
      <w:r w:rsidRPr="00186F49">
        <w:rPr>
          <w:rFonts w:ascii="Arial" w:eastAsia="Times New Roman" w:hAnsi="Arial" w:cs="Arial"/>
          <w:kern w:val="0"/>
          <w:szCs w:val="24"/>
          <w:lang w:eastAsia="es-ES"/>
        </w:rPr>
        <w:t>. Es facultad del Gobierno Nacional expedir las normas relativas a la organización de un sistema obligatorio de garantía de calidad de la atención de salud, incluyendo la auditoría médica, de obligatorio desarrollo en las entidades promotoras de salud, con el objeto de garantizar la adecuada calidad en la prestación de los servicios. La información producida será de conocimiento público.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228.-Revisoría fiscal</w:t>
      </w:r>
      <w:r w:rsidRPr="00186F49">
        <w:rPr>
          <w:rFonts w:ascii="Arial" w:eastAsia="Times New Roman" w:hAnsi="Arial" w:cs="Arial"/>
          <w:kern w:val="0"/>
          <w:szCs w:val="24"/>
          <w:lang w:eastAsia="es-ES"/>
        </w:rPr>
        <w:t>. Las entidades promotoras de salud, cualquiera sea su naturaleza, deberán tener un revisor fiscal designado por la asamblea general de accionistas, o por el órgano competente. El revisor fiscal cumplirá las funciones previstas en el libro II, título I, capítulo VII del Código de Comercio y se sujetará a lo allí dispuesto sin perjuicio de lo prescrito en otras normas.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Corresponderá al Superintendente Nacional de Salud dar posesión al revisor fiscal de tales entidades. Cuando la designación recaiga en una asociación o firma de contadores, la diligencia de posesión procederá con relación al contador público que sea designado por la misma para ejercer las funciones de revisor fiscal. La posesión sólo se efectuará una vez el superintendente se cerciore acerca del carácter, la idoneidad y la experiencia del peticionario.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-Para la inscripción en el registro mercantil del nombramiento de los revisores fiscales, se exigirá por parte de las cámaras de comercio copia de la correspondiente acta de posesión.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229.-Control fiscal</w:t>
      </w:r>
      <w:r w:rsidRPr="00186F49">
        <w:rPr>
          <w:rFonts w:ascii="Arial" w:eastAsia="Times New Roman" w:hAnsi="Arial" w:cs="Arial"/>
          <w:kern w:val="0"/>
          <w:szCs w:val="24"/>
          <w:lang w:eastAsia="es-ES"/>
        </w:rPr>
        <w:t>. El control fiscal de las entidades de que habla esta ley, se hará por las respectivas contralorías para las que tengan carácter oficial y por los controles estatutarios para las que tengan un carácter privado.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98" w:name="BM230"/>
      <w:r w:rsidRPr="00186F49">
        <w:rPr>
          <w:rFonts w:ascii="Arial" w:eastAsia="Times New Roman" w:hAnsi="Arial" w:cs="Arial"/>
          <w:b/>
          <w:bCs/>
          <w:kern w:val="0"/>
          <w:szCs w:val="24"/>
          <w:lang w:eastAsia="es-ES"/>
        </w:rPr>
        <w:t> </w:t>
      </w:r>
      <w:bookmarkStart w:id="99" w:name="230"/>
      <w:bookmarkEnd w:id="98"/>
      <w:r w:rsidRPr="00186F49">
        <w:rPr>
          <w:rFonts w:ascii="Arial" w:eastAsia="Times New Roman" w:hAnsi="Arial" w:cs="Arial"/>
          <w:b/>
          <w:bCs/>
          <w:kern w:val="0"/>
          <w:szCs w:val="24"/>
          <w:lang w:eastAsia="es-ES"/>
        </w:rPr>
        <w:t> </w:t>
      </w:r>
      <w:bookmarkEnd w:id="99"/>
      <w:r w:rsidRPr="00186F49">
        <w:rPr>
          <w:rFonts w:ascii="Arial" w:eastAsia="Times New Roman" w:hAnsi="Arial" w:cs="Arial"/>
          <w:b/>
          <w:bCs/>
          <w:kern w:val="0"/>
          <w:szCs w:val="24"/>
          <w:lang w:eastAsia="es-ES"/>
        </w:rPr>
        <w:t>230.-Régimen sancionatorio</w:t>
      </w:r>
      <w:r w:rsidRPr="00186F49">
        <w:rPr>
          <w:rFonts w:ascii="Arial" w:eastAsia="Times New Roman" w:hAnsi="Arial" w:cs="Arial"/>
          <w:kern w:val="0"/>
          <w:szCs w:val="24"/>
          <w:lang w:eastAsia="es-ES"/>
        </w:rPr>
        <w:t>. </w:t>
      </w:r>
      <w:hyperlink r:id="rId228" w:anchor="0" w:history="1">
        <w:r w:rsidRPr="00186F49">
          <w:rPr>
            <w:rFonts w:ascii="Arial" w:eastAsia="Times New Roman" w:hAnsi="Arial" w:cs="Arial"/>
            <w:color w:val="0000FF"/>
            <w:kern w:val="0"/>
            <w:szCs w:val="24"/>
            <w:u w:val="single"/>
            <w:lang w:eastAsia="es-ES"/>
          </w:rPr>
          <w:t>Reglamentado Parcialmente por el Decreto Nacional 3023 de 2002</w:t>
        </w:r>
      </w:hyperlink>
      <w:r w:rsidRPr="00186F49">
        <w:rPr>
          <w:rFonts w:ascii="Arial" w:eastAsia="Times New Roman" w:hAnsi="Arial" w:cs="Arial"/>
          <w:kern w:val="0"/>
          <w:szCs w:val="24"/>
          <w:lang w:eastAsia="es-ES"/>
        </w:rPr>
        <w:t xml:space="preserve">, </w:t>
      </w:r>
      <w:hyperlink r:id="rId229" w:anchor="0" w:history="1">
        <w:r w:rsidRPr="00186F49">
          <w:rPr>
            <w:rFonts w:ascii="Arial" w:eastAsia="Times New Roman" w:hAnsi="Arial" w:cs="Arial"/>
            <w:color w:val="0000FF"/>
            <w:kern w:val="0"/>
            <w:szCs w:val="24"/>
            <w:u w:val="single"/>
            <w:lang w:eastAsia="es-ES"/>
          </w:rPr>
          <w:t>Reglamentado Parcialmente por el Decreto Nacional 1024 de 2009</w:t>
        </w:r>
      </w:hyperlink>
      <w:r w:rsidRPr="00186F49">
        <w:rPr>
          <w:rFonts w:ascii="Arial" w:eastAsia="Times New Roman" w:hAnsi="Arial" w:cs="Arial"/>
          <w:kern w:val="0"/>
          <w:szCs w:val="24"/>
          <w:lang w:eastAsia="es-ES"/>
        </w:rPr>
        <w:t>.  La Superintendencia Nacional de Salud, previa solicitud de explicaciones, podrá imponer, en caso de violación a las normas contenidas en los artículos 161, 168, 178, 182, 183, 188, 204, 210, 225 y 227, por una sola vez, o en forma sucesiva, multas en cuantía hasta de 1.000 salarios mínimos legales mensuales vigentes a favor de la subcuenta de solidaridad del fondo de solidaridad y garantía.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certificado de autorización que se le otorgue a las empresas promotoras de salud podrá ser revocado o suspendido por la superintendencia mediante providencia debidamente motivada, en los siguientes casos: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Petición de la entidad promotora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Cuando la entidad deje de cumplir cualquiera de los requisitos establecidos para el otorgamiento de la autorización.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Cuando la entidad no haya iniciado su actividad en un plazo de tres meses contados a partir de la fecha de otorgamiento del certificado de autorización.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Cuando la entidad ejecute prácticas de selección adversa.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Cuando se compruebe que no se prestan efectivamente los servicios previstos en el plan de salud obligatorio.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El gobierno reglamentará los procedimientos de fusión, adquisición, liquidación, cesión de activos, pasivos y contratos, toma de posesión para administrar o liquidar y otros mecanismos aplicables a las entidades promotoras y prestadoras que permitan garantizar la adecuada prestación del servicio de salud a que hace referencia la presente ley, protegiendo la confianza pública en el sistema. </w:t>
      </w:r>
      <w:hyperlink r:id="rId230" w:anchor="0" w:history="1">
        <w:r w:rsidRPr="00186F49">
          <w:rPr>
            <w:rFonts w:ascii="Arial" w:eastAsia="Times New Roman" w:hAnsi="Arial" w:cs="Arial"/>
            <w:color w:val="0000FF"/>
            <w:kern w:val="0"/>
            <w:szCs w:val="24"/>
            <w:u w:val="single"/>
            <w:lang w:eastAsia="es-ES"/>
          </w:rPr>
          <w:t xml:space="preserve">Ver el Decreto Nacional 1566 de 2003 </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La Superintendencia Nacional de Salud ejercerá las funciones de inspección, control y vigilancia respecto de las entidades promotoras de salud, cualquiera que sea su naturaleza jurídica.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231.-Veedurías comunitarias</w:t>
      </w:r>
      <w:r w:rsidRPr="00186F49">
        <w:rPr>
          <w:rFonts w:ascii="Arial" w:eastAsia="Times New Roman" w:hAnsi="Arial" w:cs="Arial"/>
          <w:kern w:val="0"/>
          <w:szCs w:val="24"/>
          <w:lang w:eastAsia="es-ES"/>
        </w:rPr>
        <w:t>. Sin perjuicio de los demás mecanismos de control, y con el fin de garantizar cobertura, eficiencia y calidad de servicios, la prestación de los servicios mediante el régimen de subsidios en salud será objeto de control por parte de veedurías comunitarias elegidas popularmente, de acuerdo con la reglamentación que se expida para el efecto.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232.-Obligaciones de las instituciones prestadoras de servicios de salud</w:t>
      </w:r>
      <w:r w:rsidRPr="00186F49">
        <w:rPr>
          <w:rFonts w:ascii="Arial" w:eastAsia="Times New Roman" w:hAnsi="Arial" w:cs="Arial"/>
          <w:kern w:val="0"/>
          <w:szCs w:val="24"/>
          <w:lang w:eastAsia="es-ES"/>
        </w:rPr>
        <w:t xml:space="preserve">. A las instituciones prestadoras de servicios de salud se les </w:t>
      </w:r>
      <w:r w:rsidRPr="00186F49">
        <w:rPr>
          <w:rFonts w:ascii="Arial" w:eastAsia="Times New Roman" w:hAnsi="Arial" w:cs="Arial"/>
          <w:kern w:val="0"/>
          <w:szCs w:val="24"/>
          <w:lang w:eastAsia="es-ES"/>
        </w:rPr>
        <w:lastRenderedPageBreak/>
        <w:t>aplicará las disposiciones contenidas en los artículos 225, 227 y 228 de que trata la presente ley, de acuerdo con la reglamentación que se expida para el efecto. El Ministerio de Salud definirá los casos excepcionales en donde no se exigirá la revisoría fiscal.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233.-De la Superintendencia Nacional de Salud</w:t>
      </w:r>
      <w:r w:rsidRPr="00186F49">
        <w:rPr>
          <w:rFonts w:ascii="Arial" w:eastAsia="Times New Roman" w:hAnsi="Arial" w:cs="Arial"/>
          <w:kern w:val="0"/>
          <w:szCs w:val="24"/>
          <w:lang w:eastAsia="es-ES"/>
        </w:rPr>
        <w:t>. La Superintendencia Nacional de Salud es un organismo adscrito al Ministerio de Salud con personería jurídica, autonomía administrativa y patrimonio independiente.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proofErr w:type="spellStart"/>
      <w:r w:rsidRPr="00186F49">
        <w:rPr>
          <w:rFonts w:ascii="Arial" w:eastAsia="Times New Roman" w:hAnsi="Arial" w:cs="Arial"/>
          <w:kern w:val="0"/>
          <w:szCs w:val="24"/>
          <w:u w:val="single"/>
          <w:lang w:eastAsia="es-ES"/>
        </w:rPr>
        <w:t>Adiciónase</w:t>
      </w:r>
      <w:proofErr w:type="spellEnd"/>
      <w:r w:rsidRPr="00186F49">
        <w:rPr>
          <w:rFonts w:ascii="Arial" w:eastAsia="Times New Roman" w:hAnsi="Arial" w:cs="Arial"/>
          <w:kern w:val="0"/>
          <w:szCs w:val="24"/>
          <w:u w:val="single"/>
          <w:lang w:eastAsia="es-ES"/>
        </w:rPr>
        <w:t xml:space="preserve"> el artículo 7º del Decreto 2165 de 1992, que establece las funciones de la Superintendencia Nacional de Salud, con los siguientes numerales: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1.  Interrogar bajo juramento y con observancia de las formalidades previstas para esta base de pruebas en el Código de Procedimiento Civil, a cualquier persona cuyo testimonio pueda resultar útil para el esclarecimiento de los hechos durante el desarrollo de sus funciones.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En desarrollo de esta facultad podrá exigir la comparecencia, haciendo uso de las medidas coercitivas que se consagran para este efecto en el Código de Procedimiento Civil.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2.  Imponer a las instituciones respecto de las cuales tenga funciones de inspección y vigilancia, administradores, empleados o revisor fiscal de las mismas, previa solicitud de explicaciones, multas sucesivas hasta de 1.000 salarios mínimos legales mensuales vigentes a la fecha de la sanción cuando desobedezcan las instrucciones u órdenes que imparta la superintendencia.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3.  Emitir las órdenes necesarias para que se suspendan de inmediato prácticas ilegales o no autorizadas y se adopten las correspondientes medidas correctivas y de saneamiento.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4.  Velar por que las entidades vigiladas suministren a los usuarios la información necesaria para lograr la mayor transparencia en las operaciones que realicen, de suerte que les permita, a través de elementos de juicio claros y objetivos, escoger las mejores opciones del mercado.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5.  Publicar u ordenar la publicación de los estados financieros e indicadores de las entidades sometidas a su control, en los que se demuestre la situación de cada una de éstas y la del sector en su conjunto.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6.  Fijar las reglas generales que deben seguir los hospitales en su contabilidad, sin perjuicio de la autonomía reconocida a éstos para escoger y utilizar métodos accesorios, siempre que éstos no se opongan, directa o indirectamente, a las instrucciones generales impartidas por la superintendencia.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7.  Practicar visitas de inspección a las entidades vigiladas con el fin de obtener un conocimiento integran (sic) de su situación financiera del manejo de los negocios, o de aspectos especiales que se requieran.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lastRenderedPageBreak/>
        <w:t xml:space="preserve">8.  Velar por que se realicen adecuadamente las provisiones en materia previsional y </w:t>
      </w:r>
      <w:proofErr w:type="spellStart"/>
      <w:r w:rsidRPr="00186F49">
        <w:rPr>
          <w:rFonts w:ascii="Arial" w:eastAsia="Times New Roman" w:hAnsi="Arial" w:cs="Arial"/>
          <w:kern w:val="0"/>
          <w:szCs w:val="24"/>
          <w:u w:val="single"/>
          <w:lang w:eastAsia="es-ES"/>
        </w:rPr>
        <w:t>prestacional</w:t>
      </w:r>
      <w:proofErr w:type="spellEnd"/>
      <w:r w:rsidRPr="00186F49">
        <w:rPr>
          <w:rFonts w:ascii="Arial" w:eastAsia="Times New Roman" w:hAnsi="Arial" w:cs="Arial"/>
          <w:kern w:val="0"/>
          <w:szCs w:val="24"/>
          <w:u w:val="single"/>
          <w:lang w:eastAsia="es-ES"/>
        </w:rPr>
        <w:t xml:space="preserve"> de las instituciones prestadoras de servicios de salud y las instituciones de utilidad común que contraten con el Estado.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9.  Inspeccionar y vigilar las entidades promotoras de salud en los términos previstos en la presente ley y en las demás normas que regulan la estructura y funciones de la superintendencia.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Texto subrayado derogado por el</w:t>
      </w:r>
      <w:r w:rsidRPr="00186F49">
        <w:rPr>
          <w:rFonts w:ascii="Arial" w:eastAsia="Times New Roman" w:hAnsi="Arial" w:cs="Arial"/>
          <w:kern w:val="0"/>
          <w:szCs w:val="24"/>
          <w:lang w:eastAsia="es-ES"/>
        </w:rPr>
        <w:t xml:space="preserve"> art. 18, </w:t>
      </w:r>
      <w:r w:rsidRPr="00186F49">
        <w:rPr>
          <w:rFonts w:ascii="Arial" w:eastAsia="Times New Roman" w:hAnsi="Arial" w:cs="Arial"/>
          <w:b/>
          <w:bCs/>
          <w:kern w:val="0"/>
          <w:szCs w:val="24"/>
          <w:lang w:eastAsia="es-ES"/>
        </w:rPr>
        <w:t>Decreto Extraordinario 1259 de 1994</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podrá delegar total o parcialmente la inspección y vigilancia de las entidades promotoras de salud en los jefes de las entidades territoriales.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Superintendencia Nacional de Salud será la entidad encargada de resolver administrativamente las diferencias que se presenten en materia de preexistencias en el sector salud. Para el efecto la superintendencia deberá tener en cuenta la opinión de un comité integrado para cada caso por un especialista designado por la superintendencia, un especialista designado por la entidad y un especialista designado por el usuario. Los especialistas serán llamados a cumplir con su función en forma gratuita y obligatoria frente a la superintendencia. El procedimiento para resolver la controversia será fijado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Deróganse el artículo 3º, numerales 1, 2, 16, 17 18 y artículo 38 del Decreto 2165 de 1992.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El procedimiento administrativo de la Superintendencia Nacional de Salud será el mismo que se consagra por las disposiciones legales para la Superintendencia Bancaria. Los actos de carácter general que expida la Superintendencia Nacional de Salud no producirán efectos legales mientras no se publiquen en el boletín del Ministerio de Salud, capítulo, Superintendencia Nacional de Salud, el cual podrá ser editado y distribuido a través de ésta.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Para el cumplimiento de su función de inspección y vigilancia sobre el fondo de solidaridad y garantía y sobre las entidades promotoras de salud, la Superintendencia Nacional de Salud podrá contratar con firmas de auditoría colombianas la realización del programa o labores especiales.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V</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La transición del sistema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234. -Régimen de transición</w:t>
      </w:r>
      <w:r w:rsidRPr="00186F49">
        <w:rPr>
          <w:rFonts w:ascii="Arial" w:eastAsia="Times New Roman" w:hAnsi="Arial" w:cs="Arial"/>
          <w:kern w:val="0"/>
          <w:szCs w:val="24"/>
          <w:lang w:eastAsia="es-ES"/>
        </w:rPr>
        <w:t>. El sistema general de seguridad social en salud con todas las entidades y elementos que lo conforman tendrá un plazo máximo de un año, contado a partir de la entrada en vigencia de la presente ley, para iniciar su funcionamiento, salvo los casos especiales previstos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Crease la comisión técnica para la transición, la cual estará encargada de la asesoría al Gobierno Nacional, con la debida consulta a los diversos grupos partícipes del sistema, para la puesta en marcha del nuevo sistema de seguridad social en salud dentro del plazo previsto en el presente artículo. Estará compuesta por 5 expertos en la materia, y su organización y funcionamiento serán reglamentados por el Gobierno Nacional. El Gobierno Nacional hará las apropiaciones presupuéstales necesarias para su financiación.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Las entidades promotoras de salud que se creen en desarrollo de esta ley tendrán desde el comienzo de su operación cobertura familiar para sus afiliados.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0" w:name="BM235"/>
      <w:r w:rsidRPr="00186F49">
        <w:rPr>
          <w:rFonts w:ascii="Arial" w:eastAsia="Times New Roman" w:hAnsi="Arial" w:cs="Arial"/>
          <w:b/>
          <w:bCs/>
          <w:kern w:val="0"/>
          <w:szCs w:val="24"/>
          <w:lang w:eastAsia="es-ES"/>
        </w:rPr>
        <w:t> </w:t>
      </w:r>
      <w:bookmarkEnd w:id="100"/>
      <w:r w:rsidRPr="00186F49">
        <w:rPr>
          <w:rFonts w:ascii="Arial" w:eastAsia="Times New Roman" w:hAnsi="Arial" w:cs="Arial"/>
          <w:b/>
          <w:bCs/>
          <w:kern w:val="0"/>
          <w:szCs w:val="24"/>
          <w:lang w:eastAsia="es-ES"/>
        </w:rPr>
        <w:t>235. -Del Instituto de Seguros Sociales</w:t>
      </w:r>
      <w:r w:rsidRPr="00186F49">
        <w:rPr>
          <w:rFonts w:ascii="Arial" w:eastAsia="Times New Roman" w:hAnsi="Arial" w:cs="Arial"/>
          <w:kern w:val="0"/>
          <w:szCs w:val="24"/>
          <w:lang w:eastAsia="es-ES"/>
        </w:rPr>
        <w:t>. No obstante lo previsto en el artículo anterior, las obligaciones de afiliación y cotización consagradas en las leyes vigentes serán exigibles para empleadores y trabajadores durante el período de transición.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Quienes al momento de entrar en vigencia la presente ley, se encuentren afiliados al Instituto de Seguros Sociales, podrán trasladarse a otra entidad promotora de salud debidamente aprobada sólo cuando la subcuenta de compensación del fondo de solidaridad y garantía, de que habla el artículo 220 de esta ley, se encuentre efectivamente operando.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extensión de la cobertura familiar para quienes continúen o decidan afiliarse al Instituto de Seguros Sociales se hará en forma progresiva, en un período máximo de 1 año a partir de la operación efectiva del fondo de solidaridad y garantía.</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w:t>
      </w:r>
      <w:r w:rsidRPr="00186F49">
        <w:rPr>
          <w:rFonts w:ascii="Arial" w:eastAsia="Times New Roman" w:hAnsi="Arial" w:cs="Arial"/>
          <w:b/>
          <w:bCs/>
          <w:kern w:val="0"/>
          <w:szCs w:val="24"/>
          <w:lang w:eastAsia="es-ES"/>
        </w:rPr>
        <w:t>INEXEQUIBLE</w:t>
      </w:r>
      <w:r w:rsidRPr="00186F49">
        <w:rPr>
          <w:rFonts w:ascii="Arial" w:eastAsia="Times New Roman" w:hAnsi="Arial" w:cs="Arial"/>
          <w:kern w:val="0"/>
          <w:szCs w:val="24"/>
          <w:lang w:eastAsia="es-ES"/>
        </w:rPr>
        <w:t xml:space="preserve">. Los trabajadores del Instituto de Seguros Sociales mantendrán el carácter de empleados de la seguridad </w:t>
      </w:r>
      <w:proofErr w:type="spellStart"/>
      <w:r w:rsidRPr="00186F49">
        <w:rPr>
          <w:rFonts w:ascii="Arial" w:eastAsia="Times New Roman" w:hAnsi="Arial" w:cs="Arial"/>
          <w:kern w:val="0"/>
          <w:szCs w:val="24"/>
          <w:lang w:eastAsia="es-ES"/>
        </w:rPr>
        <w:t>social.</w:t>
      </w:r>
      <w:hyperlink r:id="rId231" w:anchor="0" w:history="1">
        <w:r w:rsidRPr="00186F49">
          <w:rPr>
            <w:rFonts w:ascii="Arial" w:eastAsia="Times New Roman" w:hAnsi="Arial" w:cs="Arial"/>
            <w:color w:val="0000FF"/>
            <w:kern w:val="0"/>
            <w:szCs w:val="24"/>
            <w:u w:val="single"/>
            <w:lang w:eastAsia="es-ES"/>
          </w:rPr>
          <w:t>Corte</w:t>
        </w:r>
        <w:proofErr w:type="spellEnd"/>
        <w:r w:rsidRPr="00186F49">
          <w:rPr>
            <w:rFonts w:ascii="Arial" w:eastAsia="Times New Roman" w:hAnsi="Arial" w:cs="Arial"/>
            <w:color w:val="0000FF"/>
            <w:kern w:val="0"/>
            <w:szCs w:val="24"/>
            <w:u w:val="single"/>
            <w:lang w:eastAsia="es-ES"/>
          </w:rPr>
          <w:t xml:space="preserve"> Constitucional en Sentencia C-579 de 1996</w:t>
        </w:r>
      </w:hyperlink>
      <w:r w:rsidRPr="00186F49">
        <w:rPr>
          <w:rFonts w:ascii="Arial" w:eastAsia="Times New Roman" w:hAnsi="Arial" w:cs="Arial"/>
          <w:b/>
          <w:bCs/>
          <w:kern w:val="0"/>
          <w:szCs w:val="24"/>
          <w:lang w:eastAsia="es-ES"/>
        </w:rPr>
        <w:t>.</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b/>
          <w:bCs/>
          <w:kern w:val="0"/>
          <w:szCs w:val="24"/>
          <w:lang w:eastAsia="es-ES"/>
        </w:rPr>
        <w:t>ARTICULO. </w:t>
      </w:r>
      <w:bookmarkStart w:id="101" w:name="BM236"/>
      <w:r w:rsidRPr="00186F49">
        <w:rPr>
          <w:rFonts w:ascii="Arial" w:eastAsia="Times New Roman" w:hAnsi="Arial" w:cs="Arial"/>
          <w:b/>
          <w:bCs/>
          <w:kern w:val="0"/>
          <w:szCs w:val="24"/>
          <w:lang w:eastAsia="es-ES"/>
        </w:rPr>
        <w:t> </w:t>
      </w:r>
      <w:bookmarkEnd w:id="101"/>
      <w:r w:rsidRPr="00186F49">
        <w:rPr>
          <w:rFonts w:ascii="Arial" w:eastAsia="Times New Roman" w:hAnsi="Arial" w:cs="Arial"/>
          <w:b/>
          <w:bCs/>
          <w:kern w:val="0"/>
          <w:szCs w:val="24"/>
          <w:lang w:eastAsia="es-ES"/>
        </w:rPr>
        <w:t>236.-</w:t>
      </w:r>
      <w:r w:rsidRPr="00186F49">
        <w:rPr>
          <w:rFonts w:ascii="Arial" w:eastAsia="Times New Roman" w:hAnsi="Arial" w:cs="Arial"/>
          <w:kern w:val="0"/>
          <w:szCs w:val="24"/>
          <w:lang w:eastAsia="es-ES"/>
        </w:rPr>
        <w:t> </w:t>
      </w:r>
      <w:hyperlink r:id="rId232" w:anchor="0" w:history="1">
        <w:r w:rsidRPr="00186F49">
          <w:rPr>
            <w:rFonts w:ascii="Arial" w:eastAsia="Times New Roman" w:hAnsi="Arial" w:cs="Arial"/>
            <w:color w:val="0000FF"/>
            <w:kern w:val="0"/>
            <w:szCs w:val="24"/>
            <w:u w:val="single"/>
            <w:lang w:eastAsia="es-ES"/>
          </w:rPr>
          <w:t xml:space="preserve">Reglamentado por el Decreto Nacional 1890 de </w:t>
        </w:r>
        <w:proofErr w:type="gramStart"/>
        <w:r w:rsidRPr="00186F49">
          <w:rPr>
            <w:rFonts w:ascii="Arial" w:eastAsia="Times New Roman" w:hAnsi="Arial" w:cs="Arial"/>
            <w:color w:val="0000FF"/>
            <w:kern w:val="0"/>
            <w:szCs w:val="24"/>
            <w:u w:val="single"/>
            <w:lang w:eastAsia="es-ES"/>
          </w:rPr>
          <w:t xml:space="preserve">1995 </w:t>
        </w:r>
        <w:proofErr w:type="gramEnd"/>
      </w:hyperlink>
      <w:r w:rsidRPr="00186F49">
        <w:rPr>
          <w:rFonts w:ascii="Arial" w:eastAsia="Times New Roman" w:hAnsi="Arial" w:cs="Arial"/>
          <w:kern w:val="0"/>
          <w:szCs w:val="24"/>
          <w:lang w:eastAsia="es-ES"/>
        </w:rPr>
        <w:t>. De las cajas, fondos y entidades de seguridad social del sector público, empresas y entidades públicas. Las cajas, fondos y entidades de seguridad social del sector público, empresas y entidades del sector público de cualquier orden, que con anterioridad a la fecha de vigencia de la presente ley presten servicios de salud o amparen a sus afiliados riesgos de enfermedad general y maternidad, tendrán dos años para transformarse en empresas promotoras de salud, adaptarse al nuevo sistema o para efectuar su liquidación, de acuerdo con la reglamentación que al respecto expida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 transformación en entidad promotora de salud será un proceso donde todos los trabajadores recibirán el plan de salud obligatorio de que trata el artículo 162 y, en un plazo de cuatro años a partir de la vigencia de esta ley, éstos pagarán las cotizaciones dispuestas en el artículo 204 -ajustándose como mínimo en un punto porcentual por año- y la entidad promotora de salud contribuirá al sistema plenamente con la compensación prevista en el artículo 220. Cuando el plan de beneficios de la entidad sea más amplio que el plan de </w:t>
      </w:r>
      <w:r w:rsidRPr="00186F49">
        <w:rPr>
          <w:rFonts w:ascii="Arial" w:eastAsia="Times New Roman" w:hAnsi="Arial" w:cs="Arial"/>
          <w:kern w:val="0"/>
          <w:szCs w:val="24"/>
          <w:lang w:eastAsia="es-ES"/>
        </w:rPr>
        <w:lastRenderedPageBreak/>
        <w:t>salud obligatorio, los trabajadores vinculados a la vigencia de la presente ley y hasta el término de la vinculación laboral correspondiente o el período de jubilación, continuarán recibiendo dichos beneficios con el carácter de plan complementario, en los términos del artículo 169. Las dependencias que presten servicios de salud de las cajas, fondos, entidades previsionales o entidades públicas con otro objeto social podrán suprimirse o convertirse en empresas sociales del Estado, que se regirán por lo estipulado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públicas antes referidas, que a juicio del Gobierno Nacional no requieran transformarse en empresas promotoras de salud, ni liquidarse podrán continuar prestando los servicios de salud a los servidores que se encuentren vinculados a la respectiva entidad en la fecha de iniciación de vigencia de la presente ley y hasta el término de la relación laboral o durante el período de jubilación, en la forma como lo vienen haciendo. Estas entidades deberán no obstante, ajustar gradualmente su régimen de beneficios y financiamiento, al previsto en los artículos 162, 204 y 220 de esta ley, en un plazo no mayor a cuatro (4) años, de tal manera que participen en la subcuenta de compensación del fondo de solidaridad y garantía. De conformidad con lo anterior, las entidades recaudarán mediante retención a los servidores públicos, en forma creciente y explícita, las cotizaciones establecidas en el artículo 204 de la presente ley, la cual aumentará como mínimo en un punto porcentual por año.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caso de liquidación, de las cajas, fondos, entidades previsionales y empresas del sector público, los empleadores garantizarán la afiliación de sus trabajadores a otra entidad promotora de salud y, mientras éstos logren dicha afiliación, tendrán que garantizar la respectiva protección a sus beneficiarios.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las instituciones del orden nacional se aplicarán por analogía las disposiciones laborales de que trata el capítulo 2 del Decreto 2147 de 1992, en especial para preservar los derechos de los trabajadores y pagar las indemnizaciones que resulten de la supresión de los empleos. Igualmente, se harán extensivas las disposiciones consagradas en el Decreto 2151 de 1992 para garantizar la adaptación laboral de los empleados que, por obra de lo aquí dispuesto, se les supriman sus cargos.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las instituciones de otro orden distinto al nacional, la respectiva entidad territorial o la junta directiva de los entes autónomos, expedirá la norma correspondiente, observando los principios establecidos en el presente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En todo caso, los servidores públicos que se vinculen a partir de la vigencia de la presente ley se afiliarán al Instituto de Seguros Sociales o a cualquier entidad promotora de salud, según lo dispuesto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Las enajenaciones derivadas de los procesos de reorganización aquí mencionados estarán exentos de los impuestos correspondientes.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 xml:space="preserve">Las instituciones de seguridad social del orden nacional podrán ser liquidadas cuando así lo solicite la mitad más uno de los afiliados </w:t>
      </w:r>
      <w:r w:rsidRPr="00186F49">
        <w:rPr>
          <w:rFonts w:ascii="Arial" w:eastAsia="Times New Roman" w:hAnsi="Arial" w:cs="Arial"/>
          <w:kern w:val="0"/>
          <w:szCs w:val="24"/>
          <w:lang w:eastAsia="es-ES"/>
        </w:rPr>
        <w:lastRenderedPageBreak/>
        <w:t>que se expresarán de conformidad con el mecanismo que para el efecto defina el decreto reglamentario. Lo anterior sin perjuicio de que todas las instituciones se sometan a las disposiciones consagradas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237.-De la transición para el sector agropecuario</w:t>
      </w:r>
      <w:r w:rsidRPr="00186F49">
        <w:rPr>
          <w:rFonts w:ascii="Arial" w:eastAsia="Times New Roman" w:hAnsi="Arial" w:cs="Arial"/>
          <w:kern w:val="0"/>
          <w:szCs w:val="24"/>
          <w:lang w:eastAsia="es-ES"/>
        </w:rPr>
        <w:t>. La obligación de los empleadores y trabajadores del sector agropecuario de afiliarse a los organismos encargados de prestar el servicio de seguridad social en salud regulado en esta ley, deberá cumplirse en el momento en que se disponga de la oferta de servicios en la respectiva región.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238.-De la financiación de los hospitales públicos que reciben aportes de la Nación y/o de las entidades territoriales.</w:t>
      </w:r>
      <w:r w:rsidRPr="00186F49">
        <w:rPr>
          <w:rFonts w:ascii="Arial" w:eastAsia="Times New Roman" w:hAnsi="Arial" w:cs="Arial"/>
          <w:kern w:val="0"/>
          <w:szCs w:val="24"/>
          <w:lang w:eastAsia="es-ES"/>
        </w:rPr>
        <w:t xml:space="preserve"> En lo sucesivo y de acuerdo al programa de conversión gradual que para el efecto se establezca, las direcciones seccionales, distritales y locales de salud garantizarán la celebración de contratos de compra-venta de servicios con los hospitales para atender la población que se les asigne o con las entidades promotoras de salud, sin perjuicio de lo dispuesto en la Ley 10 de 1990 y en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las vigencias fiscales de 1995 y 1996, las entidades territoriales, sin perjuicio de lo que trata el numeral 7 del 115 (sic) artículo 18 de la Ley 60 de 1993 tomarán como referencia para la programación presupuestal de las entidades públicas que prestan servicios de salud el valor en pesos constantes a ellas asignadas en la vigencia fiscal de 1994.</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Durante los primeros tres años de vigencia de la ley, las instituciones de prestación de servicios de salud que reciben recursos públicos a cualquier título, continuarán recibiendo como mínimo una suma igual en términos reales a la obtenida durante el año fiscal inmediatamente anterior a la fecha de la presente ley. Una vez concluido este término se acogerá el programa de conversión concertado entre el Ministerio de Salud y las entidades territoriales de que trata el artículo 239 de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239.-De las entidades territoriales</w:t>
      </w:r>
      <w:r w:rsidRPr="00186F49">
        <w:rPr>
          <w:rFonts w:ascii="Arial" w:eastAsia="Times New Roman" w:hAnsi="Arial" w:cs="Arial"/>
          <w:kern w:val="0"/>
          <w:szCs w:val="24"/>
          <w:lang w:eastAsia="es-ES"/>
        </w:rPr>
        <w:t>. En forma gradual, las entidades territoriales organizarán el régimen de subsidios en un plazo máximo de dos (2) años a partir de la vigencia de esta ley, de tal forma que una parte creciente de los ingresos de las instituciones prestadoras provenga de la venta de servicios de los planes de salud del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este fin, las direcciones seccionales, distritales y municipales deberán presentar al Ministerio de Salud como parte del plan de ampliación de coberturas, mejoramiento de calidad y descentralización de que trata el artículo 13 y 14 de la Ley 60 de 1993, las condiciones y términos de transición para la sustitución de transferencias por la contratación de servicios y la implementación de los subsidios a la demanda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240.-De las cajas de compensación familiar</w:t>
      </w:r>
      <w:r w:rsidRPr="00186F49">
        <w:rPr>
          <w:rFonts w:ascii="Arial" w:eastAsia="Times New Roman" w:hAnsi="Arial" w:cs="Arial"/>
          <w:kern w:val="0"/>
          <w:szCs w:val="24"/>
          <w:lang w:eastAsia="es-ES"/>
        </w:rPr>
        <w:t xml:space="preserve">. Las cajas de compensación familiar que sin haberse transformado en entidades promotoras de salud opten por prestar los servicios propios de estas entidades, tendrán el </w:t>
      </w:r>
      <w:r w:rsidRPr="00186F49">
        <w:rPr>
          <w:rFonts w:ascii="Arial" w:eastAsia="Times New Roman" w:hAnsi="Arial" w:cs="Arial"/>
          <w:kern w:val="0"/>
          <w:szCs w:val="24"/>
          <w:lang w:eastAsia="es-ES"/>
        </w:rPr>
        <w:lastRenderedPageBreak/>
        <w:t>mismo plazo contemplado en el artículo 234 para adoptar los programas regulados para el sistema general de seguridad social en salud de que trata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cualquier caso las cajas de compensación familiar tendrán que garantizar la actual protección a sus beneficiarios durante el período de transición de que trata el artículo 234 a las entidades promotoras de salud del sistema general de seguridad social en salud. Durante este período, las cajas de compensación familiar destinarán al régimen de subsidios según lo dispone el artículo 217 únicamente la diferencia entre el cinco por ciento (5%) o el diez por ciento (10%) según sea el caso de que trata el artículo 217 y el costo de la atención en salud de los familiares que no estén afiliados a dicho sistema. Las cajas destinarán estos recursos para atender beneficiarios del régimen subsidiado que se afilien a la misma o a la atención de los grupos prioritarios definidos en el artículo 157 literal b), según la forma y modalidades que el Gobierno Nacional reglamente, previo el concepto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Durante el período en el cual los afiliados del ISS no puedan trasladarse a otras entidades promotoras de salud, la atención de las familias de los trabajadores podrá ser cubierta por las cajas de compensación familiar o por cualquier otra entidad promotora de salud, de acuerdo con la elección que haga el afiliado cotizante. Para ello, recibirán una parte de la cotización de que trata el artículo 204, según lo establezca el Gobierno Nacional previo el concepto del consejo nacional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241.-El régimen de tarifas</w:t>
      </w:r>
      <w:r w:rsidRPr="00186F49">
        <w:rPr>
          <w:rFonts w:ascii="Arial" w:eastAsia="Times New Roman" w:hAnsi="Arial" w:cs="Arial"/>
          <w:kern w:val="0"/>
          <w:szCs w:val="24"/>
          <w:lang w:eastAsia="es-ES"/>
        </w:rPr>
        <w:t>. Un año después de la vigencia de la presente ley, se unificará el régimen de tarifas que aplicarán las instituciones públicas prestadoras de servicios de salud en la venta de sus servicios o uso de su capacidad a cualquier entidad promotora de servicios o asociación de profesionales, de acuerdo a la reglamentación que para el efecto se expida.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TÍTULO VI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complementarias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ARTIUCLO. 242.-Fondo </w:t>
      </w:r>
      <w:proofErr w:type="spellStart"/>
      <w:r w:rsidRPr="00186F49">
        <w:rPr>
          <w:rFonts w:ascii="Arial" w:eastAsia="Times New Roman" w:hAnsi="Arial" w:cs="Arial"/>
          <w:b/>
          <w:bCs/>
          <w:kern w:val="0"/>
          <w:szCs w:val="24"/>
          <w:lang w:eastAsia="es-ES"/>
        </w:rPr>
        <w:t>prestacional</w:t>
      </w:r>
      <w:proofErr w:type="spellEnd"/>
      <w:r w:rsidRPr="00186F49">
        <w:rPr>
          <w:rFonts w:ascii="Arial" w:eastAsia="Times New Roman" w:hAnsi="Arial" w:cs="Arial"/>
          <w:b/>
          <w:bCs/>
          <w:kern w:val="0"/>
          <w:szCs w:val="24"/>
          <w:lang w:eastAsia="es-ES"/>
        </w:rPr>
        <w:t xml:space="preserve"> del sector salud</w:t>
      </w:r>
      <w:r w:rsidRPr="00186F49">
        <w:rPr>
          <w:rFonts w:ascii="Arial" w:eastAsia="Times New Roman" w:hAnsi="Arial" w:cs="Arial"/>
          <w:kern w:val="0"/>
          <w:szCs w:val="24"/>
          <w:lang w:eastAsia="es-ES"/>
        </w:rPr>
        <w:t xml:space="preserve">. El fondo del pasivo </w:t>
      </w:r>
      <w:proofErr w:type="spellStart"/>
      <w:r w:rsidRPr="00186F49">
        <w:rPr>
          <w:rFonts w:ascii="Arial" w:eastAsia="Times New Roman" w:hAnsi="Arial" w:cs="Arial"/>
          <w:kern w:val="0"/>
          <w:szCs w:val="24"/>
          <w:lang w:eastAsia="es-ES"/>
        </w:rPr>
        <w:t>prestacional</w:t>
      </w:r>
      <w:proofErr w:type="spellEnd"/>
      <w:r w:rsidRPr="00186F49">
        <w:rPr>
          <w:rFonts w:ascii="Arial" w:eastAsia="Times New Roman" w:hAnsi="Arial" w:cs="Arial"/>
          <w:kern w:val="0"/>
          <w:szCs w:val="24"/>
          <w:lang w:eastAsia="es-ES"/>
        </w:rPr>
        <w:t xml:space="preserve"> para el sector salud, de que trata la Ley 60 de 1993, cubrirá las cesantías netas acumuladas y el pasivo laboral por pensiones de jubilación causado a 31 de diciembre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costo adicional generado por concepto de la retroactividad de cesantía del sector salud que a la vigencia de esta ley tienen derecho a ello, conforme al artículo 33 de la Ley 60 de 1993, y para los fines previstos en ésta, será asumido por el fondo del pasivo </w:t>
      </w:r>
      <w:proofErr w:type="spellStart"/>
      <w:r w:rsidRPr="00186F49">
        <w:rPr>
          <w:rFonts w:ascii="Arial" w:eastAsia="Times New Roman" w:hAnsi="Arial" w:cs="Arial"/>
          <w:kern w:val="0"/>
          <w:szCs w:val="24"/>
          <w:lang w:eastAsia="es-ES"/>
        </w:rPr>
        <w:t>prestacional</w:t>
      </w:r>
      <w:proofErr w:type="spellEnd"/>
      <w:r w:rsidRPr="00186F49">
        <w:rPr>
          <w:rFonts w:ascii="Arial" w:eastAsia="Times New Roman" w:hAnsi="Arial" w:cs="Arial"/>
          <w:kern w:val="0"/>
          <w:szCs w:val="24"/>
          <w:lang w:eastAsia="es-ES"/>
        </w:rPr>
        <w:t xml:space="preserve"> y las entidades territoriales, en los plazos y términos de concurrencia que establece la misma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partir de la vigencia de la presente ley no podrán reconocerse ni pactarse para los nuevos servidores del sector salud, retroactividad en el régimen de cesantía a ellos aplicable.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 xml:space="preserve">En el caso de que las instituciones a que se refiere el artículo 33 de la Ley 60 de 1993 y para los efectos allí previstos, estén reconociendo por un régimen especial un sistema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distinto al exigido por la entidad de previsión social a la cual se afilien o se encuentren afiliados los trabajadores correspondientes, la pensión será garantizada por el fondo del pasivo </w:t>
      </w:r>
      <w:proofErr w:type="spellStart"/>
      <w:r w:rsidRPr="00186F49">
        <w:rPr>
          <w:rFonts w:ascii="Arial" w:eastAsia="Times New Roman" w:hAnsi="Arial" w:cs="Arial"/>
          <w:kern w:val="0"/>
          <w:szCs w:val="24"/>
          <w:lang w:eastAsia="es-ES"/>
        </w:rPr>
        <w:t>prestacional</w:t>
      </w:r>
      <w:proofErr w:type="spellEnd"/>
      <w:r w:rsidRPr="00186F49">
        <w:rPr>
          <w:rFonts w:ascii="Arial" w:eastAsia="Times New Roman" w:hAnsi="Arial" w:cs="Arial"/>
          <w:kern w:val="0"/>
          <w:szCs w:val="24"/>
          <w:lang w:eastAsia="es-ES"/>
        </w:rPr>
        <w:t xml:space="preserve"> y las entidades territoriales, hasta el momento en que el trabajador reúna los requisitos exigidos por la entidad de previsión y los diferenciales de pensión serán compartidos y asumidos por el fondo, las entidades territoriales y la mencionada entidad previsional, en la proporción que a cada cual le corresponda.</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kern w:val="0"/>
          <w:szCs w:val="24"/>
          <w:lang w:eastAsia="es-ES"/>
        </w:rPr>
        <w:t xml:space="preserve">Las entidades del sector salud deberán seguir presupuestando y pagando las cesantías y pensiones a que están obligadas hasta tanto no se realice el corte de cuentas con el fondo </w:t>
      </w:r>
      <w:proofErr w:type="spellStart"/>
      <w:r w:rsidRPr="00186F49">
        <w:rPr>
          <w:rFonts w:ascii="Arial" w:eastAsia="Times New Roman" w:hAnsi="Arial" w:cs="Arial"/>
          <w:kern w:val="0"/>
          <w:szCs w:val="24"/>
          <w:lang w:eastAsia="es-ES"/>
        </w:rPr>
        <w:t>prestacional</w:t>
      </w:r>
      <w:proofErr w:type="spellEnd"/>
      <w:r w:rsidRPr="00186F49">
        <w:rPr>
          <w:rFonts w:ascii="Arial" w:eastAsia="Times New Roman" w:hAnsi="Arial" w:cs="Arial"/>
          <w:kern w:val="0"/>
          <w:szCs w:val="24"/>
          <w:lang w:eastAsia="es-ES"/>
        </w:rPr>
        <w:t xml:space="preserve"> y se establezcan para cada caso la concurrencia a que están obligadas las entidades territoriales en los términos previstos en la Ley 60 de 1993. </w:t>
      </w:r>
      <w:r w:rsidRPr="00186F49">
        <w:rPr>
          <w:rFonts w:ascii="Arial" w:eastAsia="Times New Roman" w:hAnsi="Arial" w:cs="Arial"/>
          <w:b/>
          <w:bCs/>
          <w:kern w:val="0"/>
          <w:szCs w:val="24"/>
          <w:lang w:eastAsia="es-ES"/>
        </w:rPr>
        <w:t>Ver articulo 33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Para los efectos de lo dispuesto en el presente artículo, </w:t>
      </w:r>
      <w:proofErr w:type="spellStart"/>
      <w:r w:rsidRPr="00186F49">
        <w:rPr>
          <w:rFonts w:ascii="Arial" w:eastAsia="Times New Roman" w:hAnsi="Arial" w:cs="Arial"/>
          <w:kern w:val="0"/>
          <w:szCs w:val="24"/>
          <w:lang w:eastAsia="es-ES"/>
        </w:rPr>
        <w:t>entiéndese</w:t>
      </w:r>
      <w:proofErr w:type="spellEnd"/>
      <w:r w:rsidRPr="00186F49">
        <w:rPr>
          <w:rFonts w:ascii="Arial" w:eastAsia="Times New Roman" w:hAnsi="Arial" w:cs="Arial"/>
          <w:kern w:val="0"/>
          <w:szCs w:val="24"/>
          <w:lang w:eastAsia="es-ES"/>
        </w:rPr>
        <w:t xml:space="preserve"> por cesantías netas, las cesantías acumuladas menos las pagadas a 31 de diciembre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w:t>
      </w:r>
      <w:r w:rsidRPr="00186F49">
        <w:rPr>
          <w:rFonts w:ascii="Arial" w:eastAsia="Times New Roman" w:hAnsi="Arial" w:cs="Arial"/>
          <w:b/>
          <w:bCs/>
          <w:kern w:val="0"/>
          <w:szCs w:val="24"/>
          <w:lang w:eastAsia="es-ES"/>
        </w:rPr>
        <w:t>RTICULO. 243.-</w:t>
      </w:r>
      <w:r w:rsidRPr="00186F49">
        <w:rPr>
          <w:rFonts w:ascii="Arial" w:eastAsia="Times New Roman" w:hAnsi="Arial" w:cs="Arial"/>
          <w:kern w:val="0"/>
          <w:szCs w:val="24"/>
          <w:lang w:eastAsia="es-ES"/>
        </w:rPr>
        <w:t xml:space="preserve">Amnistía a las instituciones prestadoras de servicios de salud. Para la cabal aplicación de los dispuesto en el inciso 5º del artículo 19 de la Ley 60 de 1993 sobre los pagos por prestaciones sociales del personal de salud de las entidades previstas en el numeral 2 del artículo 33 de la misma ley, el Instituto de Seguros Sociales y el Fondo Nacional del Ahorro deberán afiliar a los servidores públicos del sector salud, una vez se haya definido el pago de la deuda acumulada por cesantía y el pasivo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incluidos los intereses corrientes.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se trate de las entidades públicas previstas en el literal a) del segundo numeral del artículo 33 de la Ley 60 de 1993, el ISS, el FNA, el ICBF, el SENA y la ESAP condonarán las multas y otras erogaciones distintas al saneamiento del pasivo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y los intereses corrientes que adeuden por su falta de afiliación o pago antes de diciembre de 1993.</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kern w:val="0"/>
          <w:szCs w:val="24"/>
          <w:lang w:eastAsia="es-ES"/>
        </w:rPr>
        <w:t>Cuando se trate de entidades incursas en causal de liquidación, en los términos previstos en los literales b) y c) del artículo mencionado, los consejos u órganos directivos del ISS, el FNA, el ICBF, el SENA y la ESAP estarán facultados para condonar las multas y erogaciones previstas en el inciso anterior</w:t>
      </w:r>
      <w:r w:rsidRPr="00186F49">
        <w:rPr>
          <w:rFonts w:ascii="Arial" w:eastAsia="Times New Roman" w:hAnsi="Arial" w:cs="Arial"/>
          <w:b/>
          <w:bCs/>
          <w:kern w:val="0"/>
          <w:szCs w:val="24"/>
          <w:lang w:eastAsia="es-ES"/>
        </w:rPr>
        <w:t>. Ver inciso 5 articulo 19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2" w:name="244"/>
      <w:r w:rsidRPr="00186F49">
        <w:rPr>
          <w:rFonts w:ascii="Arial" w:eastAsia="Times New Roman" w:hAnsi="Arial" w:cs="Arial"/>
          <w:b/>
          <w:bCs/>
          <w:kern w:val="0"/>
          <w:szCs w:val="24"/>
          <w:lang w:eastAsia="es-ES"/>
        </w:rPr>
        <w:t> </w:t>
      </w:r>
      <w:bookmarkEnd w:id="102"/>
      <w:r w:rsidRPr="00186F49">
        <w:rPr>
          <w:rFonts w:ascii="Arial" w:eastAsia="Times New Roman" w:hAnsi="Arial" w:cs="Arial"/>
          <w:b/>
          <w:bCs/>
          <w:kern w:val="0"/>
          <w:szCs w:val="24"/>
          <w:lang w:eastAsia="es-ES"/>
        </w:rPr>
        <w:t>244.-Sobre el funcionamiento del seguro obligatorio de accidentes de tránsito</w:t>
      </w:r>
      <w:r w:rsidRPr="00186F49">
        <w:rPr>
          <w:rFonts w:ascii="Arial" w:eastAsia="Times New Roman" w:hAnsi="Arial" w:cs="Arial"/>
          <w:kern w:val="0"/>
          <w:szCs w:val="24"/>
          <w:lang w:eastAsia="es-ES"/>
        </w:rPr>
        <w:t>. Por el cual se introducen las siguientes modificaciones al Decreto 663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Agréguese el numeral 5º al artículo 192.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compañías aseguradoras que operan el seguro obligatorio de daños corporales causados a las personas en accidentes de tránsito, destinarán el 3.0 </w:t>
      </w:r>
      <w:r w:rsidRPr="00186F49">
        <w:rPr>
          <w:rFonts w:ascii="Arial" w:eastAsia="Times New Roman" w:hAnsi="Arial" w:cs="Arial"/>
          <w:kern w:val="0"/>
          <w:szCs w:val="24"/>
          <w:lang w:eastAsia="es-ES"/>
        </w:rPr>
        <w:lastRenderedPageBreak/>
        <w:t>por ciento de las primas que recauden anualmente a la constitución de un fondo administrado por ellas para la realización conjunta de campañas de prevención vial nacional, en coordinación con las entidades estatales que adelanten programas en tal sentido.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El artículo 194 numeral 1, literal a)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A certificación sobre la ocurrencia del accidente. El Gobierno Nacional reglamentará la forma en que habrá de demostrarse la ocurrencia de éste. Será prueba del mismo la certificación que expida el médico que atendió inicialmente la urgencia en el centro hospitalario.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3. El artículo 194 numeral 2º,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caso de muerte de la víctima como consecuencia de accidente de tránsito y para los efectos de este estatuto serán beneficiarios de las indemnizaciones por muerte las personas señaladas en el artículo 1.142 del Código de Comercio. En todo caso a falta de cónyuge, en los casos que corresponda a éste la indemnización se tendrá como tal el </w:t>
      </w:r>
      <w:r w:rsidRPr="00186F49">
        <w:rPr>
          <w:rFonts w:ascii="Arial" w:eastAsia="Times New Roman" w:hAnsi="Arial" w:cs="Arial"/>
          <w:kern w:val="0"/>
          <w:szCs w:val="24"/>
          <w:u w:val="single"/>
          <w:lang w:eastAsia="es-ES"/>
        </w:rPr>
        <w:t>compañero o compañera permanente</w:t>
      </w:r>
      <w:r w:rsidRPr="00186F49">
        <w:rPr>
          <w:rFonts w:ascii="Arial" w:eastAsia="Times New Roman" w:hAnsi="Arial" w:cs="Arial"/>
          <w:kern w:val="0"/>
          <w:szCs w:val="24"/>
          <w:lang w:eastAsia="es-ES"/>
        </w:rPr>
        <w:t>, que acredite dicha calidad, de conformidad con la reglamentación que para el efecto señale el Gobierno Nacional. La indemnización por gastos funerarios y exequias se pagará a quien demuestre haber realizado las correspondientes erogaciones.</w:t>
      </w:r>
      <w:r w:rsidRPr="00186F49">
        <w:rPr>
          <w:rFonts w:ascii="Arial" w:eastAsia="Times New Roman" w:hAnsi="Arial" w:cs="Arial"/>
          <w:b/>
          <w:bCs/>
          <w:kern w:val="0"/>
          <w:szCs w:val="24"/>
          <w:lang w:eastAsia="es-ES"/>
        </w:rPr>
        <w:t xml:space="preserve"> El texto subrayado fue declarado EXEQUIBLE por la Corte Constitucional mediante Sentencia </w:t>
      </w:r>
      <w:hyperlink r:id="rId233" w:anchor="0" w:history="1">
        <w:r w:rsidRPr="00186F49">
          <w:rPr>
            <w:rFonts w:ascii="Arial" w:eastAsia="Times New Roman" w:hAnsi="Arial" w:cs="Arial"/>
            <w:color w:val="0000FF"/>
            <w:kern w:val="0"/>
            <w:szCs w:val="24"/>
            <w:u w:val="single"/>
            <w:lang w:eastAsia="es-ES"/>
          </w:rPr>
          <w:t>C-029</w:t>
        </w:r>
      </w:hyperlink>
      <w:r w:rsidRPr="00186F49">
        <w:rPr>
          <w:rFonts w:ascii="Arial" w:eastAsia="Times New Roman" w:hAnsi="Arial" w:cs="Arial"/>
          <w:b/>
          <w:bCs/>
          <w:kern w:val="0"/>
          <w:szCs w:val="24"/>
          <w:lang w:eastAsia="es-ES"/>
        </w:rPr>
        <w:t xml:space="preserve"> de 2009, en el entendido de que, en las mismas condiciones, comprende también a los integrantes de la pareja del mismo sexo</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El inciso 2º numeral 1, del artículo 195,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determinará las tarifas a que deben sujetarse los establecimientos hospitalarios y clínicos, de los subsectores oficial y privado de que trata el artículo 5º de la Ley 10 de 1990, en la prestación de la atención médica, quirúrgica, farmacéutica y hospitalaria a las víctimas de los accidentes de tránsito. Las tarifas que establezca el Gobierno Nacional serán fijadas en salarios mínimos legales.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5.  </w:t>
      </w:r>
      <w:proofErr w:type="spellStart"/>
      <w:r w:rsidRPr="00186F49">
        <w:rPr>
          <w:rFonts w:ascii="Arial" w:eastAsia="Times New Roman" w:hAnsi="Arial" w:cs="Arial"/>
          <w:kern w:val="0"/>
          <w:szCs w:val="24"/>
          <w:lang w:eastAsia="es-ES"/>
        </w:rPr>
        <w:t>Agrégase</w:t>
      </w:r>
      <w:proofErr w:type="spellEnd"/>
      <w:r w:rsidRPr="00186F49">
        <w:rPr>
          <w:rFonts w:ascii="Arial" w:eastAsia="Times New Roman" w:hAnsi="Arial" w:cs="Arial"/>
          <w:kern w:val="0"/>
          <w:szCs w:val="24"/>
          <w:lang w:eastAsia="es-ES"/>
        </w:rPr>
        <w:t xml:space="preserve"> el numeral 5º al artículo 195.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compañías aseguradoras que incurran en conductas tendientes a dilatar injustificadamente el pago de la indemnización de que trata el presente artículo se verán abocadas a las sanciones de carácter pecuniario que para el efecto establezca el Gobierno Nacional sin perjuicio de las demás previstas en la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6.  </w:t>
      </w:r>
      <w:proofErr w:type="spellStart"/>
      <w:r w:rsidRPr="00186F49">
        <w:rPr>
          <w:rFonts w:ascii="Arial" w:eastAsia="Times New Roman" w:hAnsi="Arial" w:cs="Arial"/>
          <w:kern w:val="0"/>
          <w:szCs w:val="24"/>
          <w:lang w:eastAsia="es-ES"/>
        </w:rPr>
        <w:t>Agrégase</w:t>
      </w:r>
      <w:proofErr w:type="spellEnd"/>
      <w:r w:rsidRPr="00186F49">
        <w:rPr>
          <w:rFonts w:ascii="Arial" w:eastAsia="Times New Roman" w:hAnsi="Arial" w:cs="Arial"/>
          <w:kern w:val="0"/>
          <w:szCs w:val="24"/>
          <w:lang w:eastAsia="es-ES"/>
        </w:rPr>
        <w:t xml:space="preserve"> el numeral 6º al artículo 195.</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Cuando las compañías aseguradoras encuentren que existen serios motivos de objeción a la reclamación que presenten las entidades clínicas hospitalarias, deberán poner en conocimiento del reclamante tales objeciones, dentro del término previsto para el pago de la indemnización. No obstante, deberá en todo caso la aseguradora pagar como anticipo imputable a la indemnización, una </w:t>
      </w:r>
      <w:r w:rsidRPr="00186F49">
        <w:rPr>
          <w:rFonts w:ascii="Arial" w:eastAsia="Times New Roman" w:hAnsi="Arial" w:cs="Arial"/>
          <w:kern w:val="0"/>
          <w:szCs w:val="24"/>
          <w:lang w:eastAsia="es-ES"/>
        </w:rPr>
        <w:lastRenderedPageBreak/>
        <w:t>suma equivalente al porcentaje que reglamente el Gobierno Nacional, siempre que la reclamación se haya presentado de conformidad con lo dispuesto en las normas que la regulan.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7.  El literal b) del numeral 4º del artículo 199,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Agotado el límite de la cobertura de gastos médicos, quirúrgicos, farmacéuticos y hospitalarios otorgada por las compañías aseguradoras o el </w:t>
      </w:r>
      <w:proofErr w:type="spellStart"/>
      <w:r w:rsidRPr="00186F49">
        <w:rPr>
          <w:rFonts w:ascii="Arial" w:eastAsia="Times New Roman" w:hAnsi="Arial" w:cs="Arial"/>
          <w:kern w:val="0"/>
          <w:szCs w:val="24"/>
          <w:lang w:eastAsia="es-ES"/>
        </w:rPr>
        <w:t>Fonsat</w:t>
      </w:r>
      <w:proofErr w:type="spellEnd"/>
      <w:r w:rsidRPr="00186F49">
        <w:rPr>
          <w:rFonts w:ascii="Arial" w:eastAsia="Times New Roman" w:hAnsi="Arial" w:cs="Arial"/>
          <w:kern w:val="0"/>
          <w:szCs w:val="24"/>
          <w:lang w:eastAsia="es-ES"/>
        </w:rPr>
        <w:t xml:space="preserve">, a la atención de las víctimas </w:t>
      </w:r>
      <w:proofErr w:type="spellStart"/>
      <w:r w:rsidRPr="00186F49">
        <w:rPr>
          <w:rFonts w:ascii="Arial" w:eastAsia="Times New Roman" w:hAnsi="Arial" w:cs="Arial"/>
          <w:kern w:val="0"/>
          <w:szCs w:val="24"/>
          <w:lang w:eastAsia="es-ES"/>
        </w:rPr>
        <w:t>politraumatizadas</w:t>
      </w:r>
      <w:proofErr w:type="spellEnd"/>
      <w:r w:rsidRPr="00186F49">
        <w:rPr>
          <w:rFonts w:ascii="Arial" w:eastAsia="Times New Roman" w:hAnsi="Arial" w:cs="Arial"/>
          <w:kern w:val="0"/>
          <w:szCs w:val="24"/>
          <w:lang w:eastAsia="es-ES"/>
        </w:rPr>
        <w:t xml:space="preserve"> de accidentes de tránsito o a la rehabilitación de las mismas en los términos del reglamento del Gobierno Nacional, según directrices del consejo nacional de seguridad.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8.  El literal c) del numeral 4º del artículo 199,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A partir de la vigencia de la presente ley y atendidas las erogaciones anteriores, a la atención de las víctimas de catástrofes naturales y de actos terroristas de conformidad con la reglamentación del Gobierno Nacional según directrices fijadas por el consejo nacional de seguridad social. El saldo existente en la fecha se destinará según las normas anteriores.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9.  Por el cual se modifica la parte final de los incisos 1º y 4º del artículo 199, numeral 2º.</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INCISO. 1º-</w:t>
      </w:r>
      <w:r w:rsidRPr="00186F49">
        <w:rPr>
          <w:rFonts w:ascii="Arial" w:eastAsia="Times New Roman" w:hAnsi="Arial" w:cs="Arial"/>
          <w:kern w:val="0"/>
          <w:szCs w:val="24"/>
          <w:lang w:eastAsia="es-ES"/>
        </w:rPr>
        <w:t>Transferencias de los recursos administrados por las entidades aseguradoras al "</w:t>
      </w:r>
      <w:proofErr w:type="spellStart"/>
      <w:r w:rsidRPr="00186F49">
        <w:rPr>
          <w:rFonts w:ascii="Arial" w:eastAsia="Times New Roman" w:hAnsi="Arial" w:cs="Arial"/>
          <w:kern w:val="0"/>
          <w:szCs w:val="24"/>
          <w:lang w:eastAsia="es-ES"/>
        </w:rPr>
        <w:t>Fonsat</w:t>
      </w:r>
      <w:proofErr w:type="spellEnd"/>
      <w:r w:rsidRPr="00186F49">
        <w:rPr>
          <w:rFonts w:ascii="Arial" w:eastAsia="Times New Roman" w:hAnsi="Arial" w:cs="Arial"/>
          <w:kern w:val="0"/>
          <w:szCs w:val="24"/>
          <w:lang w:eastAsia="es-ES"/>
        </w:rPr>
        <w:t>". Las entidades aseguradoras que cuenten con autorización para la operación del ramo de seguro obligatorio de daños corporales causados a las personas en accidentes de tránsito transferirán bimestralmente el 20% del valor de las primas emitidas por cada una de ellas, en el bimestre inmediatamente anterior, al Fondo del Seguro Obligatorio de Accidentes de Tránsito "</w:t>
      </w:r>
      <w:proofErr w:type="spellStart"/>
      <w:r w:rsidRPr="00186F49">
        <w:rPr>
          <w:rFonts w:ascii="Arial" w:eastAsia="Times New Roman" w:hAnsi="Arial" w:cs="Arial"/>
          <w:kern w:val="0"/>
          <w:szCs w:val="24"/>
          <w:lang w:eastAsia="es-ES"/>
        </w:rPr>
        <w:t>Fonsat</w:t>
      </w:r>
      <w:proofErr w:type="spellEnd"/>
      <w:r w:rsidRPr="00186F49">
        <w:rPr>
          <w:rFonts w:ascii="Arial" w:eastAsia="Times New Roman" w:hAnsi="Arial" w:cs="Arial"/>
          <w:kern w:val="0"/>
          <w:szCs w:val="24"/>
          <w:lang w:eastAsia="es-ES"/>
        </w:rPr>
        <w:t>". Dicha transferencia deberá efectuarse dentro de los quince (15) primeros días hábiles del mes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INCISO. 4º-</w:t>
      </w:r>
      <w:r w:rsidRPr="00186F49">
        <w:rPr>
          <w:rFonts w:ascii="Arial" w:eastAsia="Times New Roman" w:hAnsi="Arial" w:cs="Arial"/>
          <w:kern w:val="0"/>
          <w:szCs w:val="24"/>
          <w:lang w:eastAsia="es-ES"/>
        </w:rPr>
        <w:t>La determinación del resultado del período anual se efectuará dentro de los dos (2) meses siguientes al corte correspondiente. La transferencia deberá realizarse dentro de los quince (15) primeros días hábiles del mes correspondiente.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3" w:name="BM245"/>
      <w:r w:rsidRPr="00186F49">
        <w:rPr>
          <w:rFonts w:ascii="Arial" w:eastAsia="Times New Roman" w:hAnsi="Arial" w:cs="Arial"/>
          <w:b/>
          <w:bCs/>
          <w:kern w:val="0"/>
          <w:szCs w:val="24"/>
          <w:lang w:eastAsia="es-ES"/>
        </w:rPr>
        <w:t> </w:t>
      </w:r>
      <w:bookmarkEnd w:id="103"/>
      <w:r w:rsidRPr="00186F49">
        <w:rPr>
          <w:rFonts w:ascii="Arial" w:eastAsia="Times New Roman" w:hAnsi="Arial" w:cs="Arial"/>
          <w:b/>
          <w:bCs/>
          <w:kern w:val="0"/>
          <w:szCs w:val="24"/>
          <w:lang w:eastAsia="es-ES"/>
        </w:rPr>
        <w:t xml:space="preserve">245.-El Instituto de Vigilancia de Medicamentos y </w:t>
      </w:r>
      <w:proofErr w:type="spellStart"/>
      <w:r w:rsidRPr="00186F49">
        <w:rPr>
          <w:rFonts w:ascii="Arial" w:eastAsia="Times New Roman" w:hAnsi="Arial" w:cs="Arial"/>
          <w:b/>
          <w:bCs/>
          <w:kern w:val="0"/>
          <w:szCs w:val="24"/>
          <w:lang w:eastAsia="es-ES"/>
        </w:rPr>
        <w:t>Alimentos</w:t>
      </w:r>
      <w:r w:rsidRPr="00186F49">
        <w:rPr>
          <w:rFonts w:ascii="Arial" w:eastAsia="Times New Roman" w:hAnsi="Arial" w:cs="Arial"/>
          <w:kern w:val="0"/>
          <w:szCs w:val="24"/>
          <w:lang w:eastAsia="es-ES"/>
        </w:rPr>
        <w:t>.</w:t>
      </w:r>
      <w:hyperlink r:id="rId234" w:anchor="0" w:history="1">
        <w:r w:rsidRPr="00186F49">
          <w:rPr>
            <w:rFonts w:ascii="Arial" w:eastAsia="Times New Roman" w:hAnsi="Arial" w:cs="Arial"/>
            <w:color w:val="0000FF"/>
            <w:kern w:val="0"/>
            <w:szCs w:val="24"/>
            <w:u w:val="single"/>
            <w:lang w:eastAsia="es-ES"/>
          </w:rPr>
          <w:t>Reglamentado</w:t>
        </w:r>
        <w:proofErr w:type="spellEnd"/>
        <w:r w:rsidRPr="00186F49">
          <w:rPr>
            <w:rFonts w:ascii="Arial" w:eastAsia="Times New Roman" w:hAnsi="Arial" w:cs="Arial"/>
            <w:color w:val="0000FF"/>
            <w:kern w:val="0"/>
            <w:szCs w:val="24"/>
            <w:u w:val="single"/>
            <w:lang w:eastAsia="es-ES"/>
          </w:rPr>
          <w:t xml:space="preserve"> Parcialmente por el Decreto Nacional 374 de 1994</w:t>
        </w:r>
      </w:hyperlink>
      <w:r w:rsidRPr="00186F49">
        <w:rPr>
          <w:rFonts w:ascii="Arial" w:eastAsia="Times New Roman" w:hAnsi="Arial" w:cs="Arial"/>
          <w:kern w:val="0"/>
          <w:szCs w:val="24"/>
          <w:lang w:eastAsia="es-ES"/>
        </w:rPr>
        <w:t xml:space="preserve"> , </w:t>
      </w:r>
      <w:hyperlink r:id="rId235" w:anchor="0" w:history="1">
        <w:r w:rsidRPr="00186F49">
          <w:rPr>
            <w:rFonts w:ascii="Arial" w:eastAsia="Times New Roman" w:hAnsi="Arial" w:cs="Arial"/>
            <w:color w:val="0000FF"/>
            <w:kern w:val="0"/>
            <w:szCs w:val="24"/>
            <w:u w:val="single"/>
            <w:lang w:eastAsia="es-ES"/>
          </w:rPr>
          <w:t>Reglamentado Parcialmente por el Decreto Nacional 677 de 1995</w:t>
        </w:r>
      </w:hyperlink>
      <w:r w:rsidRPr="00186F49">
        <w:rPr>
          <w:rFonts w:ascii="Arial" w:eastAsia="Times New Roman" w:hAnsi="Arial" w:cs="Arial"/>
          <w:kern w:val="0"/>
          <w:szCs w:val="24"/>
          <w:lang w:eastAsia="es-ES"/>
        </w:rPr>
        <w:t xml:space="preserve">, </w:t>
      </w:r>
      <w:hyperlink r:id="rId236" w:anchor="0" w:history="1">
        <w:r w:rsidRPr="00186F49">
          <w:rPr>
            <w:rFonts w:ascii="Arial" w:eastAsia="Times New Roman" w:hAnsi="Arial" w:cs="Arial"/>
            <w:color w:val="0000FF"/>
            <w:kern w:val="0"/>
            <w:szCs w:val="24"/>
            <w:u w:val="single"/>
            <w:lang w:eastAsia="es-ES"/>
          </w:rPr>
          <w:t>Reglamentado Parcialmente por el Decreto Nacional 3770 de 2004</w:t>
        </w:r>
      </w:hyperlink>
      <w:r w:rsidRPr="00186F49">
        <w:rPr>
          <w:rFonts w:ascii="Arial" w:eastAsia="Times New Roman" w:hAnsi="Arial" w:cs="Arial"/>
          <w:kern w:val="0"/>
          <w:szCs w:val="24"/>
          <w:lang w:eastAsia="es-ES"/>
        </w:rPr>
        <w:t xml:space="preserve">, </w:t>
      </w:r>
      <w:hyperlink r:id="rId237" w:anchor="0" w:history="1">
        <w:r w:rsidRPr="00186F49">
          <w:rPr>
            <w:rFonts w:ascii="Arial" w:eastAsia="Times New Roman" w:hAnsi="Arial" w:cs="Arial"/>
            <w:color w:val="0000FF"/>
            <w:kern w:val="0"/>
            <w:szCs w:val="24"/>
            <w:u w:val="single"/>
            <w:lang w:eastAsia="es-ES"/>
          </w:rPr>
          <w:t>Reglamentado por el Decreto Nacional 4444 de 2005</w:t>
        </w:r>
      </w:hyperlink>
      <w:r w:rsidRPr="00186F49">
        <w:rPr>
          <w:rFonts w:ascii="Arial" w:eastAsia="Times New Roman" w:hAnsi="Arial" w:cs="Arial"/>
          <w:kern w:val="0"/>
          <w:szCs w:val="24"/>
          <w:lang w:eastAsia="es-ES"/>
        </w:rPr>
        <w:t xml:space="preserve">.   Créase el Instituto Nacional de Vigilancia de Medicamentos y Alimentos </w:t>
      </w:r>
      <w:proofErr w:type="spellStart"/>
      <w:r w:rsidRPr="00186F49">
        <w:rPr>
          <w:rFonts w:ascii="Arial" w:eastAsia="Times New Roman" w:hAnsi="Arial" w:cs="Arial"/>
          <w:kern w:val="0"/>
          <w:szCs w:val="24"/>
          <w:lang w:eastAsia="es-ES"/>
        </w:rPr>
        <w:t>Invima</w:t>
      </w:r>
      <w:proofErr w:type="spellEnd"/>
      <w:r w:rsidRPr="00186F49">
        <w:rPr>
          <w:rFonts w:ascii="Arial" w:eastAsia="Times New Roman" w:hAnsi="Arial" w:cs="Arial"/>
          <w:kern w:val="0"/>
          <w:szCs w:val="24"/>
          <w:lang w:eastAsia="es-ES"/>
        </w:rPr>
        <w:t xml:space="preserve">, como un establecimiento público del orden nacional, adscrito al Ministerio de Salud, con personería jurídica, patrimonio independiente y autonomía administrativa, cuyo objeto es la ejecución de las políticas en materia de vigilancia sanitaria y de control de calidad de medicamentos, productos biológicos, alimentos, bebidas, cosméticos, dispositivos y elementos médico-quirúrgicos, odontológicos, productos naturales homeopáticos y los generados por biotecnología, reactivos </w:t>
      </w:r>
      <w:r w:rsidRPr="00186F49">
        <w:rPr>
          <w:rFonts w:ascii="Arial" w:eastAsia="Times New Roman" w:hAnsi="Arial" w:cs="Arial"/>
          <w:kern w:val="0"/>
          <w:szCs w:val="24"/>
          <w:lang w:eastAsia="es-ES"/>
        </w:rPr>
        <w:lastRenderedPageBreak/>
        <w:t>de diagnóstico, y otros que puedan tener impacto en la salud individual y colectiva.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Gobierno Nacional reglamentará el régimen de registros y licencias, así como el régimen de vigilancia sanitaria y control de calidad de los productos de </w:t>
      </w:r>
      <w:proofErr w:type="spellStart"/>
      <w:r w:rsidRPr="00186F49">
        <w:rPr>
          <w:rFonts w:ascii="Arial" w:eastAsia="Times New Roman" w:hAnsi="Arial" w:cs="Arial"/>
          <w:kern w:val="0"/>
          <w:szCs w:val="24"/>
          <w:lang w:eastAsia="es-ES"/>
        </w:rPr>
        <w:t>que</w:t>
      </w:r>
      <w:proofErr w:type="spellEnd"/>
      <w:r w:rsidRPr="00186F49">
        <w:rPr>
          <w:rFonts w:ascii="Arial" w:eastAsia="Times New Roman" w:hAnsi="Arial" w:cs="Arial"/>
          <w:kern w:val="0"/>
          <w:szCs w:val="24"/>
          <w:lang w:eastAsia="es-ES"/>
        </w:rPr>
        <w:t xml:space="preserve"> trata el objeto del </w:t>
      </w:r>
      <w:proofErr w:type="spellStart"/>
      <w:r w:rsidRPr="00186F49">
        <w:rPr>
          <w:rFonts w:ascii="Arial" w:eastAsia="Times New Roman" w:hAnsi="Arial" w:cs="Arial"/>
          <w:kern w:val="0"/>
          <w:szCs w:val="24"/>
          <w:lang w:eastAsia="es-ES"/>
        </w:rPr>
        <w:t>Invima</w:t>
      </w:r>
      <w:proofErr w:type="spellEnd"/>
      <w:r w:rsidRPr="00186F49">
        <w:rPr>
          <w:rFonts w:ascii="Arial" w:eastAsia="Times New Roman" w:hAnsi="Arial" w:cs="Arial"/>
          <w:kern w:val="0"/>
          <w:szCs w:val="24"/>
          <w:lang w:eastAsia="es-ES"/>
        </w:rPr>
        <w:t>, dentro del cual establecerá las funciones a cargo de la Nación y de las entidades territoriales, de conformidad con el régimen de competencias y recursos.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-A partir de la vigencia de la presente ley, la facultad para la formulación de la política de regulación de precios de los medicamentos de que goza el Ministerio de Desarrollo Económico, de acuerdo con la Ley 81 de 1987, estará en manos de la comisión nacional de precios de los medicamentos.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tal efecto, créase la comisión nacional de precios de medicamentos compuesta, en forma indelegable, por los ministros de Desarrollo Económico y Salud y un delegado del Presidente de la República. El gobierno reglamentará el funcionamiento de esta comisión.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Corresponde al Ministerio de Desarrollo hacer el seguimiento y control de precios de los medicamentos, según las políticas fijadas por la comisión.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Corresponde al Ministerio de Salud el desarrollo de un programa permanente de información sobre precios y calidades de los medicamentos de venta en el territorio nacional, de conformidad con las políticas adoptadas por la comisión.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246.-Difusión y capacitación para el desarrollo de la ley</w:t>
      </w:r>
      <w:r w:rsidRPr="00186F49">
        <w:rPr>
          <w:rFonts w:ascii="Arial" w:eastAsia="Times New Roman" w:hAnsi="Arial" w:cs="Arial"/>
          <w:kern w:val="0"/>
          <w:szCs w:val="24"/>
          <w:lang w:eastAsia="es-ES"/>
        </w:rPr>
        <w:t>. El Ministerio de Salud organizará y ejecutará un programa de difusión del nuevo sistema general de seguridad social en salud y de capacitación a las autoridades locales, las entidades promotoras e instituciones prestadoras, trabajadoras y, en general, los usuarios que integren el sistema general de seguridad social en salud. Este programa incluirá acciones específicas para capacitar y apoyar a los profesionales de la salud en el proceso de adecuación a las modalidades de organización, contratación, remuneración y prestación de servicios, que requiere el nuevo sistema de salud con base en la universalización solidaria de la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247.-Del ofrecimiento de programas académicos en el área de salud por parte de las instituciones de educación superior.</w:t>
      </w:r>
      <w:r w:rsidRPr="00186F49">
        <w:rPr>
          <w:rFonts w:ascii="Arial" w:eastAsia="Times New Roman" w:hAnsi="Arial" w:cs="Arial"/>
          <w:kern w:val="0"/>
          <w:szCs w:val="24"/>
          <w:lang w:eastAsia="es-ES"/>
        </w:rPr>
        <w:t xml:space="preserve"> Para desarrollar programas de pregrado o posgrado en el área de salud que impliquen formación en el campo asistencial, las instituciones de educación superior deberán contar con un centro de salud propio o formalizar convenios docente-asistenciales con instituciones de salud que cumplan con los tres niveles de atención médica, según la complejidad del programa, para poder realizar las prácticas de formación. En tales convenios se establecerán claramente las responsabilidades entre las partes.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cupos de matrícula que fijen las instituciones de educación superior en los programas académicos de pregrado y posgrado en el área de salud, estarán </w:t>
      </w:r>
      <w:r w:rsidRPr="00186F49">
        <w:rPr>
          <w:rFonts w:ascii="Arial" w:eastAsia="Times New Roman" w:hAnsi="Arial" w:cs="Arial"/>
          <w:kern w:val="0"/>
          <w:szCs w:val="24"/>
          <w:lang w:eastAsia="es-ES"/>
        </w:rPr>
        <w:lastRenderedPageBreak/>
        <w:t>determinados por la capacidad que tengan las instituciones que prestan los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Los convenios mencionados en el inciso primero deberán ser presentados ante el Ministerio de Educación Nacional por intermedio del </w:t>
      </w:r>
      <w:proofErr w:type="spellStart"/>
      <w:r w:rsidRPr="00186F49">
        <w:rPr>
          <w:rFonts w:ascii="Arial" w:eastAsia="Times New Roman" w:hAnsi="Arial" w:cs="Arial"/>
          <w:kern w:val="0"/>
          <w:szCs w:val="24"/>
          <w:lang w:eastAsia="es-ES"/>
        </w:rPr>
        <w:t>Icfes</w:t>
      </w:r>
      <w:proofErr w:type="spellEnd"/>
      <w:r w:rsidRPr="00186F49">
        <w:rPr>
          <w:rFonts w:ascii="Arial" w:eastAsia="Times New Roman" w:hAnsi="Arial" w:cs="Arial"/>
          <w:kern w:val="0"/>
          <w:szCs w:val="24"/>
          <w:lang w:eastAsia="es-ES"/>
        </w:rPr>
        <w:t>, con concepto favorable del consejo nacional para el desarrollo de los recursos humanos en salud al momento de notificar o informar la creación de los programas.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programas de especializaciones médico quirúrgicas que ofrezcan las instituciones universitarias y las universidades, tendrán un tratamiento equivalente a los programas de maestría, conforme a lo contemplado en le Ley 30 de 1992, previa reglamentación del consejo de educación superior.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248.-Facultades extraordinarias</w:t>
      </w:r>
      <w:r w:rsidRPr="00186F49">
        <w:rPr>
          <w:rFonts w:ascii="Arial" w:eastAsia="Times New Roman" w:hAnsi="Arial" w:cs="Arial"/>
          <w:kern w:val="0"/>
          <w:szCs w:val="24"/>
          <w:lang w:eastAsia="es-ES"/>
        </w:rPr>
        <w:t>. De conformidad con lo previsto en el ordinal 10 del artículo 150 de la Constitución Política, revístase al Presidente de la República de precisas facultades extraordinarias por el término de seis (6) meses, contados desde la fecha de publicación de la presente ley para: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1.  Reestructurar al Instituto Nacional de Salud, y al Ministerio de Salud de acuerdo con los propósitos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2.  El Gobierno Nacional podrá modificar la estructura y funciones de la Superintendencia Nacional de Salud con el exclusivo propósito de efectuar las adecuaciones necesarias para dar eficaz cumplimiento a lo dispuesto en esta ley. En el evento de que deban producirse retiros de personal como consecuencia de la modificación de la estructura y funciones de la superintendencia, el Gobierno Nacional establecerá un plan de retiro compensado para sus empleados, el cual comprenderá las indemnizaciones o bonificaciones por el retiro y/o pensiones de jubilación.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3.  Determinar la liquidación de </w:t>
      </w:r>
      <w:proofErr w:type="gramStart"/>
      <w:r w:rsidRPr="00186F49">
        <w:rPr>
          <w:rFonts w:ascii="Arial" w:eastAsia="Times New Roman" w:hAnsi="Arial" w:cs="Arial"/>
          <w:kern w:val="0"/>
          <w:szCs w:val="24"/>
          <w:lang w:eastAsia="es-ES"/>
        </w:rPr>
        <w:t>la cajas</w:t>
      </w:r>
      <w:proofErr w:type="gramEnd"/>
      <w:r w:rsidRPr="00186F49">
        <w:rPr>
          <w:rFonts w:ascii="Arial" w:eastAsia="Times New Roman" w:hAnsi="Arial" w:cs="Arial"/>
          <w:kern w:val="0"/>
          <w:szCs w:val="24"/>
          <w:lang w:eastAsia="es-ES"/>
        </w:rPr>
        <w:t>, fondos o entidades de seguridad o previsión social del orden nacional que presten servicios de salud que por su situación financiera deban ser liquidadas por comprobada insolvencia.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4.  Expedir un régimen de incompatibilidades e inhabilidades y las correspondientes sanciones para los miembros de junta directiva u organismos directivos y para los representantes legales y empleados de las entidades prestadoras y promotoras de servicios estatales y las instituciones de utilidad común o fundaciones que contraten con el Estado la prestación de servicios o las que reciban aportes estatales.</w:t>
      </w:r>
    </w:p>
    <w:p w:rsidR="00186F49" w:rsidRPr="00186F49" w:rsidRDefault="00186F49" w:rsidP="00186F49">
      <w:pPr>
        <w:spacing w:before="100" w:beforeAutospacing="1" w:after="100" w:afterAutospacing="1"/>
        <w:jc w:val="left"/>
        <w:rPr>
          <w:rFonts w:eastAsia="Times New Roman" w:cs="Times New Roman"/>
          <w:b/>
          <w:bCs/>
          <w:kern w:val="0"/>
          <w:szCs w:val="24"/>
          <w:lang w:eastAsia="es-ES"/>
        </w:rPr>
      </w:pPr>
      <w:r w:rsidRPr="00186F49">
        <w:rPr>
          <w:rFonts w:ascii="Arial" w:eastAsia="Times New Roman" w:hAnsi="Arial" w:cs="Arial"/>
          <w:kern w:val="0"/>
          <w:szCs w:val="24"/>
          <w:lang w:eastAsia="es-ES"/>
        </w:rPr>
        <w:t>5.   </w:t>
      </w:r>
      <w:r w:rsidRPr="00186F49">
        <w:rPr>
          <w:rFonts w:ascii="Arial" w:eastAsia="Times New Roman" w:hAnsi="Arial" w:cs="Arial"/>
          <w:b/>
          <w:bCs/>
          <w:kern w:val="0"/>
          <w:szCs w:val="24"/>
          <w:lang w:eastAsia="es-ES"/>
        </w:rPr>
        <w:t>INEXEQUIBLE</w:t>
      </w:r>
      <w:r w:rsidRPr="00186F49">
        <w:rPr>
          <w:rFonts w:ascii="Arial" w:eastAsia="Times New Roman" w:hAnsi="Arial" w:cs="Arial"/>
          <w:kern w:val="0"/>
          <w:szCs w:val="24"/>
          <w:lang w:eastAsia="es-ES"/>
        </w:rPr>
        <w:t xml:space="preserve">. Expedir un estatuto orgánico del sistema de salud, de numeración continua, con el objeto de sistematizar, integrar, incorporar y armonizar en un solo cuerpo jurídico las normas vigentes en materia de salud, así como las que contemplen las funciones y facultades asignadas a la Superintendencia Nacional de Salud. Con tal propósito podrá reordenar la numeración de las diferentes disposiciones, incluyendo esta ley, sin que en tal caso se altere su contenido. En desarrollo de esta facultad podrá eliminar las normas repetidas o </w:t>
      </w:r>
      <w:proofErr w:type="spellStart"/>
      <w:r w:rsidRPr="00186F49">
        <w:rPr>
          <w:rFonts w:ascii="Arial" w:eastAsia="Times New Roman" w:hAnsi="Arial" w:cs="Arial"/>
          <w:kern w:val="0"/>
          <w:szCs w:val="24"/>
          <w:lang w:eastAsia="es-ES"/>
        </w:rPr>
        <w:t>superfluas.</w:t>
      </w:r>
      <w:hyperlink r:id="rId238" w:anchor="0" w:history="1">
        <w:r w:rsidRPr="00186F49">
          <w:rPr>
            <w:rFonts w:ascii="Arial" w:eastAsia="Times New Roman" w:hAnsi="Arial" w:cs="Arial"/>
            <w:color w:val="0000FF"/>
            <w:kern w:val="0"/>
            <w:szCs w:val="24"/>
            <w:u w:val="single"/>
            <w:lang w:eastAsia="es-ES"/>
          </w:rPr>
          <w:t>Corte</w:t>
        </w:r>
        <w:proofErr w:type="spellEnd"/>
        <w:r w:rsidRPr="00186F49">
          <w:rPr>
            <w:rFonts w:ascii="Arial" w:eastAsia="Times New Roman" w:hAnsi="Arial" w:cs="Arial"/>
            <w:color w:val="0000FF"/>
            <w:kern w:val="0"/>
            <w:szCs w:val="24"/>
            <w:u w:val="single"/>
            <w:lang w:eastAsia="es-ES"/>
          </w:rPr>
          <w:t xml:space="preserve"> Constitucional Sentencia C-255 de 1995</w:t>
        </w:r>
      </w:hyperlink>
      <w:r w:rsidRPr="00186F49">
        <w:rPr>
          <w:rFonts w:ascii="Arial" w:eastAsia="Times New Roman" w:hAnsi="Arial" w:cs="Arial"/>
          <w:b/>
          <w:bCs/>
          <w:kern w:val="0"/>
          <w:szCs w:val="24"/>
          <w:lang w:eastAsia="es-ES"/>
        </w:rPr>
        <w:t>.</w:t>
      </w:r>
    </w:p>
    <w:p w:rsidR="00186F49" w:rsidRPr="00186F49" w:rsidRDefault="00186F49" w:rsidP="00186F49">
      <w:pPr>
        <w:spacing w:before="100" w:beforeAutospacing="1" w:after="100" w:afterAutospacing="1"/>
        <w:jc w:val="left"/>
        <w:rPr>
          <w:rFonts w:eastAsia="Times New Roman" w:cs="Times New Roman"/>
          <w:kern w:val="0"/>
          <w:szCs w:val="24"/>
          <w:lang w:eastAsia="es-ES"/>
        </w:rPr>
      </w:pPr>
      <w:r w:rsidRPr="00186F49">
        <w:rPr>
          <w:rFonts w:ascii="Arial" w:eastAsia="Times New Roman" w:hAnsi="Arial" w:cs="Arial"/>
          <w:kern w:val="0"/>
          <w:szCs w:val="24"/>
          <w:lang w:eastAsia="es-ES"/>
        </w:rPr>
        <w:lastRenderedPageBreak/>
        <w:t>6.  </w:t>
      </w:r>
      <w:proofErr w:type="spellStart"/>
      <w:r w:rsidRPr="00186F49">
        <w:rPr>
          <w:rFonts w:ascii="Arial" w:eastAsia="Times New Roman" w:hAnsi="Arial" w:cs="Arial"/>
          <w:kern w:val="0"/>
          <w:szCs w:val="24"/>
          <w:lang w:eastAsia="es-ES"/>
        </w:rPr>
        <w:t>Facúltase</w:t>
      </w:r>
      <w:proofErr w:type="spellEnd"/>
      <w:r w:rsidRPr="00186F49">
        <w:rPr>
          <w:rFonts w:ascii="Arial" w:eastAsia="Times New Roman" w:hAnsi="Arial" w:cs="Arial"/>
          <w:kern w:val="0"/>
          <w:szCs w:val="24"/>
          <w:lang w:eastAsia="es-ES"/>
        </w:rPr>
        <w:t xml:space="preserve"> al Gobierno Nacional para que en el término de seis meses, contados a partir de la fecha de la presente ley, organice al sistema de salud de las fuerzas militares y de policía y al personal regido por el Decreto Ley 1214 de 1990, en lo atinente 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Organización estructural;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Niveles de atención médica y grados de complejidad;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Organización funcional;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Régimen que incluya normas científicas y administrativas,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Régimen de prestación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7.  Precisar las funciones del </w:t>
      </w:r>
      <w:proofErr w:type="spellStart"/>
      <w:r w:rsidRPr="00186F49">
        <w:rPr>
          <w:rFonts w:ascii="Arial" w:eastAsia="Times New Roman" w:hAnsi="Arial" w:cs="Arial"/>
          <w:kern w:val="0"/>
          <w:szCs w:val="24"/>
          <w:lang w:eastAsia="es-ES"/>
        </w:rPr>
        <w:t>Invima</w:t>
      </w:r>
      <w:proofErr w:type="spellEnd"/>
      <w:r w:rsidRPr="00186F49">
        <w:rPr>
          <w:rFonts w:ascii="Arial" w:eastAsia="Times New Roman" w:hAnsi="Arial" w:cs="Arial"/>
          <w:kern w:val="0"/>
          <w:szCs w:val="24"/>
          <w:lang w:eastAsia="es-ES"/>
        </w:rPr>
        <w:t xml:space="preserve"> y proveer su organización básica. </w:t>
      </w:r>
      <w:proofErr w:type="spellStart"/>
      <w:r w:rsidRPr="00186F49">
        <w:rPr>
          <w:rFonts w:ascii="Arial" w:eastAsia="Times New Roman" w:hAnsi="Arial" w:cs="Arial"/>
          <w:kern w:val="0"/>
          <w:szCs w:val="24"/>
          <w:lang w:eastAsia="es-ES"/>
        </w:rPr>
        <w:t>Facúltase</w:t>
      </w:r>
      <w:proofErr w:type="spellEnd"/>
      <w:r w:rsidRPr="00186F49">
        <w:rPr>
          <w:rFonts w:ascii="Arial" w:eastAsia="Times New Roman" w:hAnsi="Arial" w:cs="Arial"/>
          <w:kern w:val="0"/>
          <w:szCs w:val="24"/>
          <w:lang w:eastAsia="es-ES"/>
        </w:rPr>
        <w:t xml:space="preserve"> al Gobierno Nacional para efectuar los traslados presupuestales necesarios que garanticen el adecuado funcionamiento de la entidad.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8.  Reorganizar y adecuar el Instituto Nacional de Cancerología, los sanatorios de contratación y de Agua de Dios y la Unidad Administrativa Especial Federico Lleras Acosta, que prestan servicios de salud para su transformación en empresas sociales de salud. Para este efecto </w:t>
      </w:r>
      <w:proofErr w:type="spellStart"/>
      <w:r w:rsidRPr="00186F49">
        <w:rPr>
          <w:rFonts w:ascii="Arial" w:eastAsia="Times New Roman" w:hAnsi="Arial" w:cs="Arial"/>
          <w:kern w:val="0"/>
          <w:szCs w:val="24"/>
          <w:lang w:eastAsia="es-ES"/>
        </w:rPr>
        <w:t>facúltase</w:t>
      </w:r>
      <w:proofErr w:type="spellEnd"/>
      <w:r w:rsidRPr="00186F49">
        <w:rPr>
          <w:rFonts w:ascii="Arial" w:eastAsia="Times New Roman" w:hAnsi="Arial" w:cs="Arial"/>
          <w:kern w:val="0"/>
          <w:szCs w:val="24"/>
          <w:lang w:eastAsia="es-ES"/>
        </w:rPr>
        <w:t xml:space="preserve"> al Gobierno Nacional para efectuar los traslados presupuestales necesarios.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LIBRO TERCERO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Sistema general de riesgos profesionales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Invalidez por accidentes de trabajo y enfermedad profesional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39" w:anchor="0" w:history="1">
        <w:r w:rsidRPr="00186F49">
          <w:rPr>
            <w:rFonts w:ascii="Arial" w:eastAsia="Times New Roman" w:hAnsi="Arial" w:cs="Arial"/>
            <w:color w:val="0000FF"/>
            <w:kern w:val="0"/>
            <w:szCs w:val="24"/>
            <w:u w:val="single"/>
            <w:lang w:eastAsia="es-ES"/>
          </w:rPr>
          <w:t xml:space="preserve">Ver el Decreto Nacional 1295 de </w:t>
        </w:r>
        <w:proofErr w:type="gramStart"/>
        <w:r w:rsidRPr="00186F49">
          <w:rPr>
            <w:rFonts w:ascii="Arial" w:eastAsia="Times New Roman" w:hAnsi="Arial" w:cs="Arial"/>
            <w:color w:val="0000FF"/>
            <w:kern w:val="0"/>
            <w:szCs w:val="24"/>
            <w:u w:val="single"/>
            <w:lang w:eastAsia="es-ES"/>
          </w:rPr>
          <w:t xml:space="preserve">1994 </w:t>
        </w:r>
        <w:proofErr w:type="gramEnd"/>
      </w:hyperlink>
      <w:r w:rsidRPr="00186F49">
        <w:rPr>
          <w:rFonts w:ascii="Arial" w:eastAsia="Times New Roman" w:hAnsi="Arial" w:cs="Arial"/>
          <w:kern w:val="0"/>
          <w:szCs w:val="24"/>
          <w:lang w:eastAsia="es-ES"/>
        </w:rPr>
        <w:t xml:space="preserve">, </w:t>
      </w:r>
      <w:hyperlink r:id="rId240" w:anchor="0" w:history="1">
        <w:r w:rsidRPr="00186F49">
          <w:rPr>
            <w:rFonts w:ascii="Arial" w:eastAsia="Times New Roman" w:hAnsi="Arial" w:cs="Arial"/>
            <w:color w:val="0000FF"/>
            <w:kern w:val="0"/>
            <w:szCs w:val="24"/>
            <w:u w:val="single"/>
            <w:lang w:eastAsia="es-ES"/>
          </w:rPr>
          <w:t>Reglamentado por el Decreto Nacional 1530 de 1996</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249.-Accidentes de trabajo y enfermedad profesional</w:t>
      </w:r>
      <w:r w:rsidRPr="00186F49">
        <w:rPr>
          <w:rFonts w:ascii="Arial" w:eastAsia="Times New Roman" w:hAnsi="Arial" w:cs="Arial"/>
          <w:kern w:val="0"/>
          <w:szCs w:val="24"/>
          <w:lang w:eastAsia="es-ES"/>
        </w:rPr>
        <w:t>. Las pensiones de invalidez originadas en accidente de trabajo o enfermedad profesional continuarán rigiéndose por las disposiciones vigentes, salvo lo dispuesto en relación con el sistema de calificación del estado de invalidez y las pensiones de invalidez integradas a que se refieren los artículos siguientes. </w:t>
      </w:r>
      <w:hyperlink r:id="rId241" w:anchor="0" w:history="1">
        <w:r w:rsidRPr="00186F49">
          <w:rPr>
            <w:rFonts w:ascii="Arial" w:eastAsia="Times New Roman" w:hAnsi="Arial" w:cs="Arial"/>
            <w:color w:val="0000FF"/>
            <w:kern w:val="0"/>
            <w:szCs w:val="24"/>
            <w:u w:val="single"/>
            <w:lang w:eastAsia="es-ES"/>
          </w:rPr>
          <w:t>Ver el Decreto Nacional 1772 de 1994</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250.-Calificación del estado de invalidez.</w:t>
      </w:r>
      <w:r w:rsidRPr="00186F49">
        <w:rPr>
          <w:rFonts w:ascii="Arial" w:eastAsia="Times New Roman" w:hAnsi="Arial" w:cs="Arial"/>
          <w:kern w:val="0"/>
          <w:szCs w:val="24"/>
          <w:lang w:eastAsia="es-ES"/>
        </w:rPr>
        <w:t xml:space="preserve"> La calificación del estado de  invalidez derivado de accidente de trabajo o enfermedad profesional se sujetará a lo dispuesto en esta ley para la calificación de la invalidez por riesgo común.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251.-Pensiones de invalidez integradas</w:t>
      </w:r>
      <w:r w:rsidRPr="00186F49">
        <w:rPr>
          <w:rFonts w:ascii="Arial" w:eastAsia="Times New Roman" w:hAnsi="Arial" w:cs="Arial"/>
          <w:kern w:val="0"/>
          <w:szCs w:val="24"/>
          <w:lang w:eastAsia="es-ES"/>
        </w:rPr>
        <w:t xml:space="preserve">. En el régimen de ahorro individual con solidaridad, los seguros para amparar la invalidez por </w:t>
      </w:r>
      <w:r w:rsidRPr="00186F49">
        <w:rPr>
          <w:rFonts w:ascii="Arial" w:eastAsia="Times New Roman" w:hAnsi="Arial" w:cs="Arial"/>
          <w:kern w:val="0"/>
          <w:szCs w:val="24"/>
          <w:lang w:eastAsia="es-ES"/>
        </w:rPr>
        <w:lastRenderedPageBreak/>
        <w:t>riesgo común y la invalidez por accidente de trabajo o enfermedad profesional, podrán ser contratados de manera conjunta con una misma compañía de seguros, cuando los trabajadores y empleadores así lo decidan. En este evento, el amparo para el riesgo de invalidez por accidente de trabajo o enfermedad profesional, deberá ser equivalente o superior, al otorgado por el seguro de accidente de trabajo y enfermedad profesional a cargo del Instituto de Seguros Sociales o del que actualmente les aplica, en el caso de los trabajadores de la rama jurisdiccional.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compañía de seguros señalará el monto de la cotización para el seguro de accidentes de trabajo y enfermedad profesional a cargo del empleador, y dejará de ser obligatoria la cotización al Instituto de Seguro Sociales por dicho concepto.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252.-Normas comunes</w:t>
      </w:r>
      <w:r w:rsidRPr="00186F49">
        <w:rPr>
          <w:rFonts w:ascii="Arial" w:eastAsia="Times New Roman" w:hAnsi="Arial" w:cs="Arial"/>
          <w:kern w:val="0"/>
          <w:szCs w:val="24"/>
          <w:lang w:eastAsia="es-ES"/>
        </w:rPr>
        <w:t>. Cuando el seguro para amparar el riesgo por accidente de trabajo o enfermedad profesional se contrate en la forma prevista en el artículo anterior, le serán aplicables en lo pertinente las disposiciones de los seguros de invalidez por riesgo común.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253.-Devolución de saldos</w:t>
      </w:r>
      <w:r w:rsidRPr="00186F49">
        <w:rPr>
          <w:rFonts w:ascii="Arial" w:eastAsia="Times New Roman" w:hAnsi="Arial" w:cs="Arial"/>
          <w:kern w:val="0"/>
          <w:szCs w:val="24"/>
          <w:lang w:eastAsia="es-ES"/>
        </w:rPr>
        <w:t xml:space="preserve">. Cuando un afiliado al régimen de ahorro individual con solidaridad se invalide por accidente de trabajo o enfermedad profesional, además de la pensión por invalidez que cubre la cotización a cargo del empleador, se le entregará la totalidad del saldo abonado en su cuenta individual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y en este caso no habrá lugar a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254.-Prestaciones médico asistenciales</w:t>
      </w:r>
      <w:r w:rsidRPr="00186F49">
        <w:rPr>
          <w:rFonts w:ascii="Arial" w:eastAsia="Times New Roman" w:hAnsi="Arial" w:cs="Arial"/>
          <w:kern w:val="0"/>
          <w:szCs w:val="24"/>
          <w:lang w:eastAsia="es-ES"/>
        </w:rPr>
        <w:t>. Los servicios de salud derivados de accidente de trabajo o enfermedad profesional, serán prestados por las entidades promotoras de salud de que trata la presente ley, quienes repetirán contra las entidades encargadas de administrar los recursos del seguro de accidente de trabajo y enfermedad profesional a que esté afiliado el respectivo trabajador.</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CAPÍTULO II</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Pensión de sobrevivientes originada por accidentes de trabajo y enfermedad profesional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255.-Accidentes de trabajo y enfermedad profesional</w:t>
      </w:r>
      <w:r w:rsidRPr="00186F49">
        <w:rPr>
          <w:rFonts w:ascii="Arial" w:eastAsia="Times New Roman" w:hAnsi="Arial" w:cs="Arial"/>
          <w:kern w:val="0"/>
          <w:szCs w:val="24"/>
          <w:lang w:eastAsia="es-ES"/>
        </w:rPr>
        <w:t>. La pensión de sobrevivientes originada en accidente de trabajo o enfermedad profesional continuará rigiéndose por las disposiciones vigentes, salvo que se opte por el manejo integrado de estas pensiones de conformidad con lo previsto en el artículo 157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256.-Devolución de saldos por muerte causada por accidente de trabajo o enfermedad profesional</w:t>
      </w:r>
      <w:r w:rsidRPr="00186F49">
        <w:rPr>
          <w:rFonts w:ascii="Arial" w:eastAsia="Times New Roman" w:hAnsi="Arial" w:cs="Arial"/>
          <w:kern w:val="0"/>
          <w:szCs w:val="24"/>
          <w:lang w:eastAsia="es-ES"/>
        </w:rPr>
        <w:t xml:space="preserve">. En caso de muerte del afiliado al sistema de ahorro individual con solidaridad, derivada de accidente de trabajo o enfermedad profesional, no habrá lugar a bono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y el saldo de la cuenta individual de ahorro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podrá utilizarse para incrementar el valor </w:t>
      </w:r>
      <w:r w:rsidRPr="00186F49">
        <w:rPr>
          <w:rFonts w:ascii="Arial" w:eastAsia="Times New Roman" w:hAnsi="Arial" w:cs="Arial"/>
          <w:kern w:val="0"/>
          <w:szCs w:val="24"/>
          <w:lang w:eastAsia="es-ES"/>
        </w:rPr>
        <w:lastRenderedPageBreak/>
        <w:t>de la pensión que se financia con la cotización del empleador, si el afiliado así lo hubiere estipulado o los beneficiarios lo acuerdan.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En caso contrario hará parte la masa </w:t>
      </w:r>
      <w:proofErr w:type="spellStart"/>
      <w:r w:rsidRPr="00186F49">
        <w:rPr>
          <w:rFonts w:ascii="Arial" w:eastAsia="Times New Roman" w:hAnsi="Arial" w:cs="Arial"/>
          <w:kern w:val="0"/>
          <w:szCs w:val="24"/>
          <w:lang w:eastAsia="es-ES"/>
        </w:rPr>
        <w:t>sucesoral</w:t>
      </w:r>
      <w:proofErr w:type="spellEnd"/>
      <w:r w:rsidRPr="00186F49">
        <w:rPr>
          <w:rFonts w:ascii="Arial" w:eastAsia="Times New Roman" w:hAnsi="Arial" w:cs="Arial"/>
          <w:kern w:val="0"/>
          <w:szCs w:val="24"/>
          <w:lang w:eastAsia="es-ES"/>
        </w:rPr>
        <w:t xml:space="preserve"> del causante. Si no hubiere causahabientes dichas sumas se destinarán al financiamiento de la garantía estatal de pensión mínima.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LIBRO CUARTO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Servicios sociales complementarios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257.-Programa y requisitos</w:t>
      </w:r>
      <w:r w:rsidRPr="00186F49">
        <w:rPr>
          <w:rFonts w:ascii="Arial" w:eastAsia="Times New Roman" w:hAnsi="Arial" w:cs="Arial"/>
          <w:kern w:val="0"/>
          <w:szCs w:val="24"/>
          <w:lang w:eastAsia="es-ES"/>
        </w:rPr>
        <w:t xml:space="preserve">. </w:t>
      </w:r>
      <w:proofErr w:type="spellStart"/>
      <w:r w:rsidRPr="00186F49">
        <w:rPr>
          <w:rFonts w:ascii="Arial" w:eastAsia="Times New Roman" w:hAnsi="Arial" w:cs="Arial"/>
          <w:kern w:val="0"/>
          <w:szCs w:val="24"/>
          <w:lang w:eastAsia="es-ES"/>
        </w:rPr>
        <w:t>Establécese</w:t>
      </w:r>
      <w:proofErr w:type="spellEnd"/>
      <w:r w:rsidRPr="00186F49">
        <w:rPr>
          <w:rFonts w:ascii="Arial" w:eastAsia="Times New Roman" w:hAnsi="Arial" w:cs="Arial"/>
          <w:kern w:val="0"/>
          <w:szCs w:val="24"/>
          <w:lang w:eastAsia="es-ES"/>
        </w:rPr>
        <w:t xml:space="preserve"> un programa de auxilios para los ancianos indigentes que cumplan los siguientes requisitos: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Ser colombiano;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Llegar a una edad de sesenta y cinco o más años;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Residir durante los últimos diez años en el territorio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Carecer de rentas o de ingresos suficientes para su subsistencia, o encontrarse en condiciones de extrema pobreza o indigencia, de acuerdo con la reglamentación que para tal fin expida el Consejo Nacional de Política Social,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  Residir en una institución sin ánimo de lucro para la atención de ancianos indigentes, limitados físicos o mentales y que no dependan económicamente de persona alguna. En estos casos el monto se podrá aumentar de acuerdo con las disponibilidades presupuéstales y el nivel de cobertura. En este evento parte de la pensión se podrá pagar a la respectiva institución.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 xml:space="preserve"> El Gobierno Nacional reglamentará el pago de los auxilios para aquellas personas que no residan en una institución sin ánimo de lucro y que cumplan los demás requisitos establecidos en este artículo.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Cuando se trate de ancianos indígenas que residan en sus propias comunidades, la edad que se exige es de cincuenta (50) años o más. Esta misma edad se aplicará para dementes y minusválidos.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Las entidades territoriales que establezcan este beneficio con cargo a su propios recursos, podrán modificar los requisitos anteriormente definidos.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4" w:name="BM258"/>
      <w:r w:rsidRPr="00186F49">
        <w:rPr>
          <w:rFonts w:ascii="Arial" w:eastAsia="Times New Roman" w:hAnsi="Arial" w:cs="Arial"/>
          <w:b/>
          <w:bCs/>
          <w:kern w:val="0"/>
          <w:szCs w:val="24"/>
          <w:lang w:eastAsia="es-ES"/>
        </w:rPr>
        <w:t> </w:t>
      </w:r>
      <w:bookmarkEnd w:id="104"/>
      <w:r w:rsidRPr="00186F49">
        <w:rPr>
          <w:rFonts w:ascii="Arial" w:eastAsia="Times New Roman" w:hAnsi="Arial" w:cs="Arial"/>
          <w:b/>
          <w:bCs/>
          <w:kern w:val="0"/>
          <w:szCs w:val="24"/>
          <w:lang w:eastAsia="es-ES"/>
        </w:rPr>
        <w:t>258.-Objeto del programa</w:t>
      </w:r>
      <w:r w:rsidRPr="00186F49">
        <w:rPr>
          <w:rFonts w:ascii="Arial" w:eastAsia="Times New Roman" w:hAnsi="Arial" w:cs="Arial"/>
          <w:kern w:val="0"/>
          <w:szCs w:val="24"/>
          <w:lang w:eastAsia="es-ES"/>
        </w:rPr>
        <w:t xml:space="preserve">. El programa para los ancianos tendrá por objeto apoyar económicamente y hasta por el 50% del salario mínimo legal mensual vigente, a las personas que cumplan las condicione señaladas en el artículo anterior y de conformidad con las metas que el </w:t>
      </w:r>
      <w:proofErr w:type="spellStart"/>
      <w:r w:rsidRPr="00186F49">
        <w:rPr>
          <w:rFonts w:ascii="Arial" w:eastAsia="Times New Roman" w:hAnsi="Arial" w:cs="Arial"/>
          <w:kern w:val="0"/>
          <w:szCs w:val="24"/>
          <w:lang w:eastAsia="es-ES"/>
        </w:rPr>
        <w:t>Conpes</w:t>
      </w:r>
      <w:proofErr w:type="spellEnd"/>
      <w:r w:rsidRPr="00186F49">
        <w:rPr>
          <w:rFonts w:ascii="Arial" w:eastAsia="Times New Roman" w:hAnsi="Arial" w:cs="Arial"/>
          <w:kern w:val="0"/>
          <w:szCs w:val="24"/>
          <w:lang w:eastAsia="es-ES"/>
        </w:rPr>
        <w:t xml:space="preserve"> establezca para tal programa.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42" w:anchor="1" w:history="1">
        <w:r w:rsidRPr="00186F49">
          <w:rPr>
            <w:rFonts w:ascii="Arial" w:eastAsia="Times New Roman" w:hAnsi="Arial" w:cs="Arial"/>
            <w:color w:val="0000FF"/>
            <w:kern w:val="0"/>
            <w:szCs w:val="24"/>
            <w:u w:val="single"/>
            <w:lang w:eastAsia="es-ES"/>
          </w:rPr>
          <w:t>La Ley 344 de 1996 artículo 44, deroga el inciso segundo.</w:t>
        </w:r>
        <w:r w:rsidRPr="00186F49">
          <w:rPr>
            <w:rFonts w:ascii="Arial" w:eastAsia="Times New Roman" w:hAnsi="Arial" w:cs="Arial"/>
            <w:b/>
            <w:bCs/>
            <w:color w:val="0000FF"/>
            <w:kern w:val="0"/>
            <w:szCs w:val="24"/>
            <w:u w:val="single"/>
            <w:lang w:eastAsia="es-ES"/>
          </w:rPr>
          <w:t xml:space="preserve"> </w:t>
        </w:r>
      </w:hyperlink>
      <w:r w:rsidRPr="00186F49">
        <w:rPr>
          <w:rFonts w:ascii="Arial" w:eastAsia="Times New Roman" w:hAnsi="Arial" w:cs="Arial"/>
          <w:kern w:val="0"/>
          <w:szCs w:val="24"/>
          <w:lang w:eastAsia="es-ES"/>
        </w:rPr>
        <w:t xml:space="preserve">El programa se financiará con los recursos del presupuesto general de la nación que el </w:t>
      </w:r>
      <w:proofErr w:type="spellStart"/>
      <w:r w:rsidRPr="00186F49">
        <w:rPr>
          <w:rFonts w:ascii="Arial" w:eastAsia="Times New Roman" w:hAnsi="Arial" w:cs="Arial"/>
          <w:kern w:val="0"/>
          <w:szCs w:val="24"/>
          <w:lang w:eastAsia="es-ES"/>
        </w:rPr>
        <w:t>Conpes</w:t>
      </w:r>
      <w:proofErr w:type="spellEnd"/>
      <w:r w:rsidRPr="00186F49">
        <w:rPr>
          <w:rFonts w:ascii="Arial" w:eastAsia="Times New Roman" w:hAnsi="Arial" w:cs="Arial"/>
          <w:kern w:val="0"/>
          <w:szCs w:val="24"/>
          <w:lang w:eastAsia="es-ES"/>
        </w:rPr>
        <w:t xml:space="preserve"> destine para ello anualmente, y con los recursos que para tal efecto puedan destinar los departamentos, distritos y municipios.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xml:space="preserve">-El Gobierno Nacional reglamentará los mecanismos y procedimientos para hacer efectivo el programa de </w:t>
      </w:r>
      <w:proofErr w:type="spellStart"/>
      <w:r w:rsidRPr="00186F49">
        <w:rPr>
          <w:rFonts w:ascii="Arial" w:eastAsia="Times New Roman" w:hAnsi="Arial" w:cs="Arial"/>
          <w:kern w:val="0"/>
          <w:szCs w:val="24"/>
          <w:lang w:eastAsia="es-ES"/>
        </w:rPr>
        <w:t>que</w:t>
      </w:r>
      <w:proofErr w:type="spellEnd"/>
      <w:r w:rsidRPr="00186F49">
        <w:rPr>
          <w:rFonts w:ascii="Arial" w:eastAsia="Times New Roman" w:hAnsi="Arial" w:cs="Arial"/>
          <w:kern w:val="0"/>
          <w:szCs w:val="24"/>
          <w:lang w:eastAsia="es-ES"/>
        </w:rPr>
        <w:t xml:space="preserve"> trata el presente artículo, contemplando mecanismos para la cofinanciación por parte de los departamentos, distritos y municipios. El programa podrá ser administrado y ejecutado de manera descentralizada. Así mismo, el gobierno podrá modificar los requisitos dependiendo de la evolución demográfica y la evolución de la población beneficiaria del programa.</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ARTICULO. 259.-Pérdida de la prestación especial por vejez. La prestación especial por vejez se pierde: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Por muerte del beneficiario;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Por mendicidad comprobada como actividad productiva;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Por percibir una pensión o cualquier otro subsidio,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d) Las demás que establezca el Consejo Nacional de Política Social.</w:t>
      </w:r>
    </w:p>
    <w:p w:rsidR="00186F49" w:rsidRPr="00186F49" w:rsidRDefault="00186F49" w:rsidP="00186F49">
      <w:pPr>
        <w:spacing w:before="100" w:beforeAutospacing="1" w:after="100" w:afterAutospacing="1"/>
        <w:jc w:val="left"/>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(La Corte Constitucional en Sentencia C-126 de 1995 declaró inexequible el literal 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260.-Reconocimiento, administración y control de la prestación especial por vejez. </w:t>
      </w:r>
      <w:r w:rsidRPr="00186F49">
        <w:rPr>
          <w:rFonts w:ascii="Arial" w:eastAsia="Times New Roman" w:hAnsi="Arial" w:cs="Arial"/>
          <w:kern w:val="0"/>
          <w:szCs w:val="24"/>
          <w:lang w:eastAsia="es-ES"/>
        </w:rPr>
        <w:t>El reconocimiento de la prestación especial por vejez, su administración y control serán establecidos por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Para efectos de la administración de la prestación especial por vejez se podrán contemplar mecanismos para la cofinanciación por parte de los departamentos, municipios y distritos.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municipios o distritos así como las entidades reconocidas para el efecto que presten servicios asistenciales para la tercera edad, podrán administrar la prestación de que trata el artículo 258 de la presente ley siempre y cuando cumplan con lo establecido en el artículo siguiente.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261.-Planes locales de servicios complementarios</w:t>
      </w:r>
      <w:r w:rsidRPr="00186F49">
        <w:rPr>
          <w:rFonts w:ascii="Arial" w:eastAsia="Times New Roman" w:hAnsi="Arial" w:cs="Arial"/>
          <w:kern w:val="0"/>
          <w:szCs w:val="24"/>
          <w:lang w:eastAsia="es-ES"/>
        </w:rPr>
        <w:t>. Los municipios o distritos deberán garantizar la infraestructura necesaria para la atención de los ancianos indigentes y la elaboración de un plan municipal de servicios complementarios para la tercera edad como parte integral del plan desarrollo municipal o distrital.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262.-Servicios sociales complementarios para la tercera edad</w:t>
      </w:r>
      <w:r w:rsidRPr="00186F49">
        <w:rPr>
          <w:rFonts w:ascii="Arial" w:eastAsia="Times New Roman" w:hAnsi="Arial" w:cs="Arial"/>
          <w:kern w:val="0"/>
          <w:szCs w:val="24"/>
          <w:lang w:eastAsia="es-ES"/>
        </w:rPr>
        <w:t>. El Estado a través de sus autoridades y entidades, y con la participación de la comunidad y organizaciones no gubernamentales prestarán servicios sociales para la tercera edad conforme a lo establecido en los siguientes literales: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a)  En materia de educación, las autoridades del sector de la educación promoverán acciones sobre el reconocimiento positivo de la vejez y el envejecimiento;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bookmarkStart w:id="105" w:name="BM262_b"/>
      <w:r w:rsidRPr="00186F49">
        <w:rPr>
          <w:rFonts w:ascii="Arial" w:eastAsia="Times New Roman" w:hAnsi="Arial" w:cs="Arial"/>
          <w:kern w:val="0"/>
          <w:szCs w:val="24"/>
          <w:lang w:eastAsia="es-ES"/>
        </w:rPr>
        <w:t> </w:t>
      </w:r>
      <w:bookmarkEnd w:id="105"/>
      <w:r w:rsidRPr="00186F49">
        <w:rPr>
          <w:rFonts w:ascii="Arial" w:eastAsia="Times New Roman" w:hAnsi="Arial" w:cs="Arial"/>
          <w:kern w:val="0"/>
          <w:szCs w:val="24"/>
          <w:lang w:eastAsia="es-ES"/>
        </w:rPr>
        <w:t>b)  En materia de cultura, recreación y turismo, las entidades de cultura, recreación, deporte y turismo que reciban recursos del Estado deberán definir e implantar planes de servicios y descuentos especiales para personas de la tercera edad,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El Ministerio de Trabajo y Seguridad Social promoverá la inclusión dentro de los programas regulares de bienestar social de las entidades públicas de carácter nacional y del sector privado el componente de preparación a la jubilación.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263.-Autorización para el subsidio al desempleo</w:t>
      </w:r>
      <w:r w:rsidRPr="00186F49">
        <w:rPr>
          <w:rFonts w:ascii="Arial" w:eastAsia="Times New Roman" w:hAnsi="Arial" w:cs="Arial"/>
          <w:kern w:val="0"/>
          <w:szCs w:val="24"/>
          <w:lang w:eastAsia="es-ES"/>
        </w:rPr>
        <w:t xml:space="preserve">. </w:t>
      </w:r>
      <w:proofErr w:type="spellStart"/>
      <w:r w:rsidRPr="00186F49">
        <w:rPr>
          <w:rFonts w:ascii="Arial" w:eastAsia="Times New Roman" w:hAnsi="Arial" w:cs="Arial"/>
          <w:kern w:val="0"/>
          <w:szCs w:val="24"/>
          <w:lang w:eastAsia="es-ES"/>
        </w:rPr>
        <w:t>Autorízase</w:t>
      </w:r>
      <w:proofErr w:type="spellEnd"/>
      <w:r w:rsidRPr="00186F49">
        <w:rPr>
          <w:rFonts w:ascii="Arial" w:eastAsia="Times New Roman" w:hAnsi="Arial" w:cs="Arial"/>
          <w:kern w:val="0"/>
          <w:szCs w:val="24"/>
          <w:lang w:eastAsia="es-ES"/>
        </w:rPr>
        <w:t xml:space="preserve"> a las entidades territoriales para que creen y financien con cargo a sus propios recursos planes de subsidio al desempleo.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LIBRO QUINTO</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Disposiciones finales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264.-Disposiciones presupuestales</w:t>
      </w:r>
      <w:r w:rsidRPr="00186F49">
        <w:rPr>
          <w:rFonts w:ascii="Arial" w:eastAsia="Times New Roman" w:hAnsi="Arial" w:cs="Arial"/>
          <w:kern w:val="0"/>
          <w:szCs w:val="24"/>
          <w:lang w:eastAsia="es-ES"/>
        </w:rPr>
        <w:t>.  </w:t>
      </w:r>
      <w:hyperlink r:id="rId243" w:anchor="71" w:history="1">
        <w:r w:rsidRPr="00186F49">
          <w:rPr>
            <w:rFonts w:ascii="Arial" w:eastAsia="Times New Roman" w:hAnsi="Arial" w:cs="Arial"/>
            <w:color w:val="0000FF"/>
            <w:kern w:val="0"/>
            <w:szCs w:val="24"/>
            <w:u w:val="single"/>
            <w:lang w:eastAsia="es-ES"/>
          </w:rPr>
          <w:t>Derogado por el art. 71, Ley 179 de 1994</w:t>
        </w:r>
      </w:hyperlink>
      <w:r w:rsidRPr="00186F49">
        <w:rPr>
          <w:rFonts w:ascii="Arial" w:eastAsia="Times New Roman" w:hAnsi="Arial" w:cs="Arial"/>
          <w:kern w:val="0"/>
          <w:szCs w:val="24"/>
          <w:lang w:eastAsia="es-ES"/>
        </w:rPr>
        <w:t>. El gobierno presentará al Congreso de la República, el proyecto del presupuesto de seguridad social conjuntamente con el proyecto de presupuesto nacional y de los establecimientos públicos del orden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proyecto de presupuesto estará integrado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Presupuesto anual de las entidades públicas del orden nacional en el cual se refleje la proyección de ingresos y pagos de cada seguro económico durante la vigencia;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b)  La situación financiera a largo plazo de los seguros económicos manejados por entidades públicas o privadas de cualquier orden nacional o territorial, en la cual se refleje el valor presente de los ingresos y gastos potenciales del sistema de previsión social, 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  Las fuentes de financiamiento de los faltantes o el destino de los excedentes de los seguros económicos de acuerdo con lo establecido en la presente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  En el caso del Instituto de Seguros Sociales, se presentará un informe al Congreso de la República sobre lo contemplado en los literales a, b y c del presente artículo, aplicándosele en el trámite presupuestal, solamente, lo dispuesto en el estatuto orgánico del presupuesto general de la Nación.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265.-Presupuestos de las entidades</w:t>
      </w:r>
      <w:r w:rsidRPr="00186F49">
        <w:rPr>
          <w:rFonts w:ascii="Arial" w:eastAsia="Times New Roman" w:hAnsi="Arial" w:cs="Arial"/>
          <w:kern w:val="0"/>
          <w:szCs w:val="24"/>
          <w:lang w:eastAsia="es-ES"/>
        </w:rPr>
        <w:t>. </w:t>
      </w:r>
      <w:hyperlink r:id="rId244" w:anchor="71" w:history="1">
        <w:r w:rsidRPr="00186F49">
          <w:rPr>
            <w:rFonts w:ascii="Arial" w:eastAsia="Times New Roman" w:hAnsi="Arial" w:cs="Arial"/>
            <w:color w:val="0000FF"/>
            <w:kern w:val="0"/>
            <w:szCs w:val="24"/>
            <w:u w:val="single"/>
            <w:lang w:eastAsia="es-ES"/>
          </w:rPr>
          <w:t>Derogado por el art. 71, Ley 179 de 1994</w:t>
        </w:r>
      </w:hyperlink>
      <w:r w:rsidRPr="00186F49">
        <w:rPr>
          <w:rFonts w:ascii="Arial" w:eastAsia="Times New Roman" w:hAnsi="Arial" w:cs="Arial"/>
          <w:kern w:val="0"/>
          <w:szCs w:val="24"/>
          <w:lang w:eastAsia="es-ES"/>
        </w:rPr>
        <w:t>. El proyecto del presupuesto anual de las entidades públicas del orden nacional, se presentará al Congreso de la República clasificado en gastos de funcionamiento e inversión de cada seguro económico.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lastRenderedPageBreak/>
        <w:t>El presupuesto anual de las entidades públicas de seguridad social del orden nacional se regirá por lo dispuesto en el estatuto orgánico del presupuesto, sin perjuicio de lo establecido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266.-Componentes del gasto público social en el presupuesto nacional</w:t>
      </w:r>
      <w:r w:rsidRPr="00186F49">
        <w:rPr>
          <w:rFonts w:ascii="Arial" w:eastAsia="Times New Roman" w:hAnsi="Arial" w:cs="Arial"/>
          <w:kern w:val="0"/>
          <w:szCs w:val="24"/>
          <w:lang w:eastAsia="es-ES"/>
        </w:rPr>
        <w:t>.  </w:t>
      </w:r>
      <w:hyperlink r:id="rId245" w:anchor="71" w:history="1">
        <w:r w:rsidRPr="00186F49">
          <w:rPr>
            <w:rFonts w:ascii="Arial" w:eastAsia="Times New Roman" w:hAnsi="Arial" w:cs="Arial"/>
            <w:color w:val="0000FF"/>
            <w:kern w:val="0"/>
            <w:szCs w:val="24"/>
            <w:u w:val="single"/>
            <w:lang w:eastAsia="es-ES"/>
          </w:rPr>
          <w:t>Derogado por el art. 71, Ley 179 de 1994</w:t>
        </w:r>
      </w:hyperlink>
      <w:r w:rsidRPr="00186F49">
        <w:rPr>
          <w:rFonts w:ascii="Arial" w:eastAsia="Times New Roman" w:hAnsi="Arial" w:cs="Arial"/>
          <w:kern w:val="0"/>
          <w:szCs w:val="24"/>
          <w:lang w:eastAsia="es-ES"/>
        </w:rPr>
        <w:t>. Los gastos que efectúen las entidades públicas de seguridad en el orden nacional se agruparán como componentes del gasto público social a que hace referencia el artículo 350 de la Constitución Política.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 xml:space="preserve">ARTICULO. 267.-Estimación del pasivo </w:t>
      </w:r>
      <w:proofErr w:type="spellStart"/>
      <w:r w:rsidRPr="00186F49">
        <w:rPr>
          <w:rFonts w:ascii="Arial" w:eastAsia="Times New Roman" w:hAnsi="Arial" w:cs="Arial"/>
          <w:b/>
          <w:bCs/>
          <w:kern w:val="0"/>
          <w:szCs w:val="24"/>
          <w:lang w:eastAsia="es-ES"/>
        </w:rPr>
        <w:t>pensional</w:t>
      </w:r>
      <w:proofErr w:type="spellEnd"/>
      <w:r w:rsidRPr="00186F49">
        <w:rPr>
          <w:rFonts w:ascii="Arial" w:eastAsia="Times New Roman" w:hAnsi="Arial" w:cs="Arial"/>
          <w:b/>
          <w:bCs/>
          <w:kern w:val="0"/>
          <w:szCs w:val="24"/>
          <w:lang w:eastAsia="es-ES"/>
        </w:rPr>
        <w:t xml:space="preserve"> y </w:t>
      </w:r>
      <w:proofErr w:type="spellStart"/>
      <w:r w:rsidRPr="00186F49">
        <w:rPr>
          <w:rFonts w:ascii="Arial" w:eastAsia="Times New Roman" w:hAnsi="Arial" w:cs="Arial"/>
          <w:b/>
          <w:bCs/>
          <w:kern w:val="0"/>
          <w:szCs w:val="24"/>
          <w:lang w:eastAsia="es-ES"/>
        </w:rPr>
        <w:t>reaforo</w:t>
      </w:r>
      <w:proofErr w:type="spellEnd"/>
      <w:r w:rsidRPr="00186F49">
        <w:rPr>
          <w:rFonts w:ascii="Arial" w:eastAsia="Times New Roman" w:hAnsi="Arial" w:cs="Arial"/>
          <w:b/>
          <w:bCs/>
          <w:kern w:val="0"/>
          <w:szCs w:val="24"/>
          <w:lang w:eastAsia="es-ES"/>
        </w:rPr>
        <w:t xml:space="preserve"> de rentas</w:t>
      </w:r>
      <w:r w:rsidRPr="00186F49">
        <w:rPr>
          <w:rFonts w:ascii="Arial" w:eastAsia="Times New Roman" w:hAnsi="Arial" w:cs="Arial"/>
          <w:kern w:val="0"/>
          <w:szCs w:val="24"/>
          <w:lang w:eastAsia="es-ES"/>
        </w:rPr>
        <w:t xml:space="preserve">. El Gobierno Nacional calculará antes del 31 de diciembre de 1994 el pasivo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con relación a sus servidores públicos y el de las entidades territoriales con sus respectivos servidores, causada a 31 de diciembre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El costo para calcular dichos pasivos lo absorberá la Nación, para lo cual el Gobierno Nacional </w:t>
      </w:r>
      <w:proofErr w:type="spellStart"/>
      <w:r w:rsidRPr="00186F49">
        <w:rPr>
          <w:rFonts w:ascii="Arial" w:eastAsia="Times New Roman" w:hAnsi="Arial" w:cs="Arial"/>
          <w:kern w:val="0"/>
          <w:szCs w:val="24"/>
          <w:lang w:eastAsia="es-ES"/>
        </w:rPr>
        <w:t>esta</w:t>
      </w:r>
      <w:proofErr w:type="spellEnd"/>
      <w:r w:rsidRPr="00186F49">
        <w:rPr>
          <w:rFonts w:ascii="Arial" w:eastAsia="Times New Roman" w:hAnsi="Arial" w:cs="Arial"/>
          <w:kern w:val="0"/>
          <w:szCs w:val="24"/>
          <w:lang w:eastAsia="es-ES"/>
        </w:rPr>
        <w:t xml:space="preserve"> autorizado para efectuar las adiciones y traslados requeridos en el presupuesto general de la Nación.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Para atender el pago de las pensiones y de las mesadas atrasadas a cargo de la Caja Nacional de Previsión, el presupuesto general de la Nación se adiciona en sesenta mil millones de pesos, con recursos de crédito interno. Además, los recursos de </w:t>
      </w:r>
      <w:proofErr w:type="spellStart"/>
      <w:r w:rsidRPr="00186F49">
        <w:rPr>
          <w:rFonts w:ascii="Arial" w:eastAsia="Times New Roman" w:hAnsi="Arial" w:cs="Arial"/>
          <w:kern w:val="0"/>
          <w:szCs w:val="24"/>
          <w:lang w:eastAsia="es-ES"/>
        </w:rPr>
        <w:t>reaforo</w:t>
      </w:r>
      <w:proofErr w:type="spellEnd"/>
      <w:r w:rsidRPr="00186F49">
        <w:rPr>
          <w:rFonts w:ascii="Arial" w:eastAsia="Times New Roman" w:hAnsi="Arial" w:cs="Arial"/>
          <w:kern w:val="0"/>
          <w:szCs w:val="24"/>
          <w:lang w:eastAsia="es-ES"/>
        </w:rPr>
        <w:t xml:space="preserve"> de rentas de la Caja Nacional de Previsión, por veinte mil millones de pesos, se incorporan a su presupuesto para el mismo fin y para el pago de servicios de salud a su cargo.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268.-Recursos para el pago de aportes de los municipios</w:t>
      </w:r>
      <w:r w:rsidRPr="00186F49">
        <w:rPr>
          <w:rFonts w:ascii="Arial" w:eastAsia="Times New Roman" w:hAnsi="Arial" w:cs="Arial"/>
          <w:kern w:val="0"/>
          <w:szCs w:val="24"/>
          <w:lang w:eastAsia="es-ES"/>
        </w:rPr>
        <w:t xml:space="preserve">. En aquellos municipios que presenten dificultades para pagar los aportes de esta ley, el </w:t>
      </w:r>
      <w:proofErr w:type="spellStart"/>
      <w:r w:rsidRPr="00186F49">
        <w:rPr>
          <w:rFonts w:ascii="Arial" w:eastAsia="Times New Roman" w:hAnsi="Arial" w:cs="Arial"/>
          <w:kern w:val="0"/>
          <w:szCs w:val="24"/>
          <w:lang w:eastAsia="es-ES"/>
        </w:rPr>
        <w:t>Conpes</w:t>
      </w:r>
      <w:proofErr w:type="spellEnd"/>
      <w:r w:rsidRPr="00186F49">
        <w:rPr>
          <w:rFonts w:ascii="Arial" w:eastAsia="Times New Roman" w:hAnsi="Arial" w:cs="Arial"/>
          <w:kern w:val="0"/>
          <w:szCs w:val="24"/>
          <w:lang w:eastAsia="es-ES"/>
        </w:rPr>
        <w:t xml:space="preserve"> social autorizará para tal fin, que se disponga de una parte de los ingresos previstos en los numerales 2 y 16 del artículo 21 de la Ley 60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269.-Transferencia de cotizaciones</w:t>
      </w:r>
      <w:r w:rsidRPr="00186F49">
        <w:rPr>
          <w:rFonts w:ascii="Arial" w:eastAsia="Times New Roman" w:hAnsi="Arial" w:cs="Arial"/>
          <w:kern w:val="0"/>
          <w:szCs w:val="24"/>
          <w:lang w:eastAsia="es-ES"/>
        </w:rPr>
        <w:t>. Los dineros provenientes de las cotizaciones para el sistema general de seguridad social de las entidades estatales y de los servidores públicos, podrán ser entregados a las entidades administradoras del sistema a través de encargos fiduciarios o fiducias.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270.-Prelación de créditos</w:t>
      </w:r>
      <w:r w:rsidRPr="00186F49">
        <w:rPr>
          <w:rFonts w:ascii="Arial" w:eastAsia="Times New Roman" w:hAnsi="Arial" w:cs="Arial"/>
          <w:kern w:val="0"/>
          <w:szCs w:val="24"/>
          <w:lang w:eastAsia="es-ES"/>
        </w:rPr>
        <w:t xml:space="preserve">. Los créditos exigibles por concepto de las cotizaciones y los intereses a que hubiere lugar, tanto en el sistema general de pensiones como en el sistema de seguridad social en salud, pertenecen a la primera clase de </w:t>
      </w:r>
      <w:proofErr w:type="spellStart"/>
      <w:r w:rsidRPr="00186F49">
        <w:rPr>
          <w:rFonts w:ascii="Arial" w:eastAsia="Times New Roman" w:hAnsi="Arial" w:cs="Arial"/>
          <w:kern w:val="0"/>
          <w:szCs w:val="24"/>
          <w:lang w:eastAsia="es-ES"/>
        </w:rPr>
        <w:t>que</w:t>
      </w:r>
      <w:proofErr w:type="spellEnd"/>
      <w:r w:rsidRPr="00186F49">
        <w:rPr>
          <w:rFonts w:ascii="Arial" w:eastAsia="Times New Roman" w:hAnsi="Arial" w:cs="Arial"/>
          <w:kern w:val="0"/>
          <w:szCs w:val="24"/>
          <w:lang w:eastAsia="es-ES"/>
        </w:rPr>
        <w:t xml:space="preserve"> trata el artículo 2495 del Código Civil y tienen el mismo privilegio que los créditos por concepto de salarios, prestaciones sociales e indemnizaciones laborales.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271.-Sanciones para el empleador</w:t>
      </w:r>
      <w:r w:rsidRPr="00186F49">
        <w:rPr>
          <w:rFonts w:ascii="Arial" w:eastAsia="Times New Roman" w:hAnsi="Arial" w:cs="Arial"/>
          <w:kern w:val="0"/>
          <w:szCs w:val="24"/>
          <w:lang w:eastAsia="es-ES"/>
        </w:rPr>
        <w:t xml:space="preserve">. El empleador, y en general cualquier persona natural o jurídica que impida o atente en cualquier forma contra el derecho del trabajador a su afiliación y selección de organismos e instituciones del sistema de seguridad social integral se hará acreedor, en cada caso y por cada afiliado, a una multa impuesta por las autoridades del </w:t>
      </w:r>
      <w:r w:rsidRPr="00186F49">
        <w:rPr>
          <w:rFonts w:ascii="Arial" w:eastAsia="Times New Roman" w:hAnsi="Arial" w:cs="Arial"/>
          <w:kern w:val="0"/>
          <w:szCs w:val="24"/>
          <w:lang w:eastAsia="es-ES"/>
        </w:rPr>
        <w:lastRenderedPageBreak/>
        <w:t xml:space="preserve">Ministerio de Trabajo y Seguridad Social o del Ministerio de Salud en cada caso, que no podrá ser inferior a un salario mínimo mensual vigente ni exceder cincuenta veces dicho salario. El valor de estas multas se destinará al fondo de solidaridad </w:t>
      </w:r>
      <w:proofErr w:type="spellStart"/>
      <w:r w:rsidRPr="00186F49">
        <w:rPr>
          <w:rFonts w:ascii="Arial" w:eastAsia="Times New Roman" w:hAnsi="Arial" w:cs="Arial"/>
          <w:kern w:val="0"/>
          <w:szCs w:val="24"/>
          <w:lang w:eastAsia="es-ES"/>
        </w:rPr>
        <w:t>pensional</w:t>
      </w:r>
      <w:proofErr w:type="spellEnd"/>
      <w:r w:rsidRPr="00186F49">
        <w:rPr>
          <w:rFonts w:ascii="Arial" w:eastAsia="Times New Roman" w:hAnsi="Arial" w:cs="Arial"/>
          <w:kern w:val="0"/>
          <w:szCs w:val="24"/>
          <w:lang w:eastAsia="es-ES"/>
        </w:rPr>
        <w:t xml:space="preserve"> o a la subcuenta de solidaridad del fondo de solidaridad y garantía del sistema general de seguridad social en salud, respectivamente. La afiliación respectiva quedará sin efecto y podrá realizarse nuevamente en forma libre y espontánea por parte del trabajador.</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Nacional reglamentará los mecanismos para el control del pago de cotizaciones de los trabajadores migrantes o estacionales, con contrato a término fijo o con contrato por prestación de servicios.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46" w:anchor="1" w:history="1">
        <w:r w:rsidRPr="00186F49">
          <w:rPr>
            <w:rFonts w:ascii="Arial" w:eastAsia="Times New Roman" w:hAnsi="Arial" w:cs="Arial"/>
            <w:color w:val="0000FF"/>
            <w:kern w:val="0"/>
            <w:szCs w:val="24"/>
            <w:u w:val="single"/>
            <w:lang w:eastAsia="es-ES"/>
          </w:rPr>
          <w:t>Ver Art. 23 Decreto Nacional 1703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272.-Aplicación preferencial.</w:t>
      </w:r>
      <w:r w:rsidRPr="00186F49">
        <w:rPr>
          <w:rFonts w:ascii="Arial" w:eastAsia="Times New Roman" w:hAnsi="Arial" w:cs="Arial"/>
          <w:kern w:val="0"/>
          <w:szCs w:val="24"/>
          <w:lang w:eastAsia="es-ES"/>
        </w:rPr>
        <w:t xml:space="preserve"> El sistema integral de seguridad social establecido en la presente ley, no tendrá, en ningún caso, aplicación cuando menoscabe la libertad, la dignidad humana o los derechos de los trabajadores.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tal sentido, los principios mínimos fundamentales consagrados en el artículo 53 de la Constitución Política tendrán plena validez y eficacia.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273.-Régimen aplicable a los servidores públicos.</w:t>
      </w:r>
      <w:r w:rsidRPr="00186F49">
        <w:rPr>
          <w:rFonts w:ascii="Arial" w:eastAsia="Times New Roman" w:hAnsi="Arial" w:cs="Arial"/>
          <w:kern w:val="0"/>
          <w:szCs w:val="24"/>
          <w:lang w:eastAsia="es-ES"/>
        </w:rPr>
        <w:t xml:space="preserve"> El Gobierno Nacional, sujetándose a los objetivos, criterios y contenido que se expresan en la presente ley y en particular a lo establecido en los artículos 11 y 36 de la misma, podrá incorporar, respetando los derechos adquiridos, a los servidores públicos, aun a los congresistas, al sistema general de pensiones y al sistema general de seguridad social en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seguridad social procurará ser universal para toda la población colombiana.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274.-Asesoría y elección a través de las organizaciones sindicales.</w:t>
      </w:r>
      <w:r w:rsidRPr="00186F49">
        <w:rPr>
          <w:rFonts w:ascii="Arial" w:eastAsia="Times New Roman" w:hAnsi="Arial" w:cs="Arial"/>
          <w:kern w:val="0"/>
          <w:szCs w:val="24"/>
          <w:lang w:eastAsia="es-ES"/>
        </w:rPr>
        <w:t xml:space="preserve"> Las confederaciones, las federaciones y las organizaciones sindicales de primer grado, y los empleadores, podrán asesorar a los trabajadores en las decisiones de libre escogencia que correspondan a cada uno de estos, relativas a la afiliación y selección de organismos e instituciones del sistema de seguridad social integral.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organizaciones sindicales quedan facultadas para tomar las decisiones que en principio correspondan a cada trabajador, relacionadas con la afiliación y selección de organismos e instituciones del sistema de seguridad social integral. En tal caso, la organización sindical decidirá por mayoría de sus trabajadores afiliados y la decisión sólo será aplicable a los afiliados interesados que voten afirmativamente, quienes dentro de los términos de esta ley conservan la facultad de trasladarse de un sistema a otro.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275.-Del Instituto de Seguros Sociales</w:t>
      </w:r>
      <w:r w:rsidRPr="00186F49">
        <w:rPr>
          <w:rFonts w:ascii="Arial" w:eastAsia="Times New Roman" w:hAnsi="Arial" w:cs="Arial"/>
          <w:kern w:val="0"/>
          <w:szCs w:val="24"/>
          <w:lang w:eastAsia="es-ES"/>
        </w:rPr>
        <w:t xml:space="preserve">. El Instituto de Seguros Sociales es una empresa industrial y comercial del Estado, del orden nacional, con personería jurídica, autonomía administrativa y patrimonio independiente, vinculada al Ministerio de Trabajo y Seguridad Social y el régimen de sus </w:t>
      </w:r>
      <w:r w:rsidRPr="00186F49">
        <w:rPr>
          <w:rFonts w:ascii="Arial" w:eastAsia="Times New Roman" w:hAnsi="Arial" w:cs="Arial"/>
          <w:kern w:val="0"/>
          <w:szCs w:val="24"/>
          <w:lang w:eastAsia="es-ES"/>
        </w:rPr>
        <w:lastRenderedPageBreak/>
        <w:t>cargos será el contemplado en el Decreto Ley 1651 de 1977 y podrá realizar los contratos de que trata el numeral 5º del artículo 32 de la Ley 80 de 1993.</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presidente del Instituto de Seguros Sociales será nombrado por el Presidente de la República de terna presentada por el consejo directivo del instituto.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Sin el perjuicio de la facultad discrecional del Presidente de la República, el consejo directivo, por mayoría absoluta de votos podrá solicitarle al presidente la remoción del presidente del ISS, por el no cumplimiento de las metas anuales de gestión previamente determinadas por el consejo directivo.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Así mismo, el consejo directivo señalará las directrices generales para elegir el personal directivo del instituto.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Respecto de los servicios de salud que presta, actuará como una entidad promotora y prestadora de servicios de salud con jurisdicción nacional. El consejo directivo del instituto determinará las tarifas que el instituto aplicará en la venta de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w:t>
      </w:r>
      <w:r w:rsidRPr="00186F49">
        <w:rPr>
          <w:rFonts w:ascii="Arial" w:eastAsia="Times New Roman" w:hAnsi="Arial" w:cs="Arial"/>
          <w:kern w:val="0"/>
          <w:szCs w:val="24"/>
          <w:lang w:eastAsia="es-ES"/>
        </w:rPr>
        <w:t>Para efectos tributarios el ISS se regirá por lo previsto para los establecimientos públicos.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En un plazo de un año a partir de la vigencia de la presente ley, y de acuerdo con la reglamentación que expida el consejo directivo, el instituto garantizará la descentralización y la autonomía técnica, financiera y administrativa de las unidades de su propiedad que presten los servicios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276.-Venta de activos del Instituto de Seguros Sociales</w:t>
      </w:r>
      <w:r w:rsidRPr="00186F49">
        <w:rPr>
          <w:rFonts w:ascii="Arial" w:eastAsia="Times New Roman" w:hAnsi="Arial" w:cs="Arial"/>
          <w:kern w:val="0"/>
          <w:szCs w:val="24"/>
          <w:lang w:eastAsia="es-ES"/>
        </w:rPr>
        <w:t>. La venta de activos del Instituto de Seguros Sociales no podrá afectar su patrimonio y tendrá como finalidad el cumplimiento de los objetivos del sistema de seguridad social integral.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277.-Composición del consejo directivo del ISS</w:t>
      </w:r>
      <w:r w:rsidRPr="00186F49">
        <w:rPr>
          <w:rFonts w:ascii="Arial" w:eastAsia="Times New Roman" w:hAnsi="Arial" w:cs="Arial"/>
          <w:kern w:val="0"/>
          <w:szCs w:val="24"/>
          <w:lang w:eastAsia="es-ES"/>
        </w:rPr>
        <w:t>. El consejo directivo del Instituto de Seguros Sociales tendrá una composición tripartita, integrada por representantes del gobierno, de los empleadores, de los cuales uno será representante de la pequeña o mediana empresa, y de los trabajadores, uno de los cuales será representante de los pensionados.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determinará el número de integrantes y reglamentará la forma como serán designados, dentro de los seis (6) meses siguientes a la vigencia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Este nuevo consejo directivo tomará la decisión definitiva, sobre el proceso de reestructuración de la planta de personal del Instituto de Seguros Sociales.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278.-Carácter de los subsidios.</w:t>
      </w:r>
      <w:r w:rsidRPr="00186F49">
        <w:rPr>
          <w:rFonts w:ascii="Arial" w:eastAsia="Times New Roman" w:hAnsi="Arial" w:cs="Arial"/>
          <w:kern w:val="0"/>
          <w:szCs w:val="24"/>
          <w:lang w:eastAsia="es-ES"/>
        </w:rPr>
        <w:t xml:space="preserve"> Los subsidios de que trata esta ley no tendrán el carácter de donación o auxilio, para los efectos del artículo 355 de la Constitución Política.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ARTICULO. 279.-Excepciones.</w:t>
      </w:r>
      <w:r w:rsidRPr="00186F49">
        <w:rPr>
          <w:rFonts w:ascii="Arial" w:eastAsia="Times New Roman" w:hAnsi="Arial" w:cs="Arial"/>
          <w:kern w:val="0"/>
          <w:szCs w:val="24"/>
          <w:lang w:eastAsia="es-ES"/>
        </w:rPr>
        <w:t xml:space="preserve"> El sistema integral de seguridad social contenido en la presente ley no se aplica a los miembros de las fuerzas militares y de la Policía Nacional, ni al personal regido por el Decreto Ley 1214 de 1990, con excepción de aquél que se vincule a partir de la vigencia de la presente ley, ni a los miembros no remunerados de las corporaciones públicas.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u w:val="single"/>
          <w:lang w:eastAsia="es-ES"/>
        </w:rPr>
        <w:t>Así mismo, se exceptúa a los afiliados al fondo nacional de prestaciones sociales del magisterio, creado por la Ley 91 de 1989,</w:t>
      </w:r>
      <w:r w:rsidRPr="00186F49">
        <w:rPr>
          <w:rFonts w:ascii="Arial" w:eastAsia="Times New Roman" w:hAnsi="Arial" w:cs="Arial"/>
          <w:kern w:val="0"/>
          <w:szCs w:val="24"/>
          <w:lang w:eastAsia="es-ES"/>
        </w:rPr>
        <w:t xml:space="preserve"> cuyas prestaciones a cargo serán compatibles con pensiones o cualquier clase de remuneración. Este fondo será responsable de la expedición y pago de bonos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 xml:space="preserve"> en favor de educadores que se retiren del servicio, de conformidad con la reglamentación que para el efecto se expida. </w:t>
      </w:r>
      <w:r w:rsidRPr="00186F49">
        <w:rPr>
          <w:rFonts w:ascii="Arial" w:eastAsia="Times New Roman" w:hAnsi="Arial" w:cs="Arial"/>
          <w:b/>
          <w:bCs/>
          <w:kern w:val="0"/>
          <w:szCs w:val="24"/>
          <w:lang w:eastAsia="es-ES"/>
        </w:rPr>
        <w:t xml:space="preserve">Subrayado Declarado Exequible por la Corte Constitucional mediante </w:t>
      </w:r>
      <w:hyperlink r:id="rId247" w:anchor="1" w:history="1">
        <w:r w:rsidRPr="00186F49">
          <w:rPr>
            <w:rFonts w:ascii="Arial" w:eastAsia="Times New Roman" w:hAnsi="Arial" w:cs="Arial"/>
            <w:color w:val="0000FF"/>
            <w:kern w:val="0"/>
            <w:szCs w:val="24"/>
            <w:u w:val="single"/>
            <w:lang w:eastAsia="es-ES"/>
          </w:rPr>
          <w:t>Sentencia C-461 de 1995</w:t>
        </w:r>
      </w:hyperlink>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Se exceptúan también, los trabajadores de las empresas que al empezar a regir la presente ley, estén en concordato preventivo y obligatorio en el cual se hayan pactado sistemas o procedimientos especiales de protección de las pensiones, y mientras dure el respectivo concordato.</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Igualmente, el presente régimen de seguridad social, no se aplica a los servidores públicos de la Empresa Colombiana de Petróleos, ni a los pensionados de la misma. Quienes con posterioridad a la vigencia de la presente ley, ingresen a la Empresa Colombiana de Petróleos, Ecopetrol, por vencimiento del término de contratos de concesión o de asociación, podrán beneficiarse del régimen de seguridad social de la misma, mediante la celebración de un acuerdo individual o colectivo, en término de costos, forma de pago y tiempo de servicio, que conduzca a la equivalencia entre el sistema que los ampara en la fecha de su ingreso y el existente en Ecopetrol.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1º-</w:t>
      </w:r>
      <w:r w:rsidRPr="00186F49">
        <w:rPr>
          <w:rFonts w:ascii="Arial" w:eastAsia="Times New Roman" w:hAnsi="Arial" w:cs="Arial"/>
          <w:kern w:val="0"/>
          <w:szCs w:val="24"/>
          <w:lang w:eastAsia="es-ES"/>
        </w:rPr>
        <w:t>La empresa y los servidores de que trata el inciso anterior, quedan obligados a efectuar los aportes de solidaridad previstos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empleadoras referidas en el presente artículo, quedan facultadas para recibir y expedir los bonos correspondientes a los períodos de vinculación o cotización a que hubiere lugar, de conformidad con la reglamentación que para tal efecto se expida.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2º- </w:t>
      </w:r>
      <w:r w:rsidRPr="00186F49">
        <w:rPr>
          <w:rFonts w:ascii="Arial" w:eastAsia="Times New Roman" w:hAnsi="Arial" w:cs="Arial"/>
          <w:kern w:val="0"/>
          <w:szCs w:val="24"/>
          <w:lang w:eastAsia="es-ES"/>
        </w:rPr>
        <w:t xml:space="preserve">La pensión gracia para los educadores de que tratan las leyes 114 de 1913, 116 de 1928 y 37 de 1933, continuará a cargo de la Caja Nacional de Previsión y del Fondo de Pensiones Públicas del Nivel Nacional, cuando éste sustituya a la caja en el pago de su obligaciones </w:t>
      </w:r>
      <w:proofErr w:type="spellStart"/>
      <w:r w:rsidRPr="00186F49">
        <w:rPr>
          <w:rFonts w:ascii="Arial" w:eastAsia="Times New Roman" w:hAnsi="Arial" w:cs="Arial"/>
          <w:kern w:val="0"/>
          <w:szCs w:val="24"/>
          <w:lang w:eastAsia="es-ES"/>
        </w:rPr>
        <w:t>pensionales</w:t>
      </w:r>
      <w:proofErr w:type="spellEnd"/>
      <w:r w:rsidRPr="00186F49">
        <w:rPr>
          <w:rFonts w:ascii="Arial" w:eastAsia="Times New Roman" w:hAnsi="Arial" w:cs="Arial"/>
          <w:kern w:val="0"/>
          <w:szCs w:val="24"/>
          <w:lang w:eastAsia="es-ES"/>
        </w:rPr>
        <w:t>.</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3º-</w:t>
      </w:r>
      <w:r w:rsidRPr="00186F49">
        <w:rPr>
          <w:rFonts w:ascii="Arial" w:eastAsia="Times New Roman" w:hAnsi="Arial" w:cs="Arial"/>
          <w:kern w:val="0"/>
          <w:szCs w:val="24"/>
          <w:lang w:eastAsia="es-ES"/>
        </w:rPr>
        <w:t xml:space="preserve"> Las pensiones de que tratan las leyes 126 de 1985 adicionada por la </w:t>
      </w:r>
      <w:hyperlink r:id="rId248" w:anchor="1" w:history="1">
        <w:r w:rsidRPr="00186F49">
          <w:rPr>
            <w:rFonts w:ascii="Arial" w:eastAsia="Times New Roman" w:hAnsi="Arial" w:cs="Arial"/>
            <w:color w:val="0000FF"/>
            <w:kern w:val="0"/>
            <w:szCs w:val="24"/>
            <w:u w:val="single"/>
            <w:lang w:eastAsia="es-ES"/>
          </w:rPr>
          <w:t xml:space="preserve">Ley 71 de </w:t>
        </w:r>
        <w:proofErr w:type="gramStart"/>
        <w:r w:rsidRPr="00186F49">
          <w:rPr>
            <w:rFonts w:ascii="Arial" w:eastAsia="Times New Roman" w:hAnsi="Arial" w:cs="Arial"/>
            <w:color w:val="0000FF"/>
            <w:kern w:val="0"/>
            <w:szCs w:val="24"/>
            <w:u w:val="single"/>
            <w:lang w:eastAsia="es-ES"/>
          </w:rPr>
          <w:t xml:space="preserve">1988 </w:t>
        </w:r>
        <w:proofErr w:type="gramEnd"/>
      </w:hyperlink>
      <w:r w:rsidRPr="00186F49">
        <w:rPr>
          <w:rFonts w:ascii="Arial" w:eastAsia="Times New Roman" w:hAnsi="Arial" w:cs="Arial"/>
          <w:kern w:val="0"/>
          <w:szCs w:val="24"/>
          <w:lang w:eastAsia="es-ES"/>
        </w:rPr>
        <w:t>, continuarán vigentes en los términos y condiciones en ellas contemplados.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4º-</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Adicionado por el</w:t>
      </w:r>
      <w:r w:rsidRPr="00186F49">
        <w:rPr>
          <w:rFonts w:ascii="Arial" w:eastAsia="Times New Roman" w:hAnsi="Arial" w:cs="Arial"/>
          <w:kern w:val="0"/>
          <w:szCs w:val="24"/>
          <w:lang w:eastAsia="es-ES"/>
        </w:rPr>
        <w:t xml:space="preserve"> art. 1, </w:t>
      </w:r>
      <w:r w:rsidRPr="00186F49">
        <w:rPr>
          <w:rFonts w:ascii="Arial" w:eastAsia="Times New Roman" w:hAnsi="Arial" w:cs="Arial"/>
          <w:b/>
          <w:bCs/>
          <w:kern w:val="0"/>
          <w:szCs w:val="24"/>
          <w:lang w:eastAsia="es-ES"/>
        </w:rPr>
        <w:t>Ley 238 de 1995</w:t>
      </w:r>
      <w:r w:rsidRPr="00186F49">
        <w:rPr>
          <w:rFonts w:ascii="Arial" w:eastAsia="Times New Roman" w:hAnsi="Arial" w:cs="Arial"/>
          <w:kern w:val="0"/>
          <w:szCs w:val="24"/>
          <w:lang w:eastAsia="es-ES"/>
        </w:rPr>
        <w:t xml:space="preserve">. Las excepciones consagradas en el presente artículo no implican negación de los beneficios y derechos determinados en los artículos 14 y 142 de esta ley para los pensionados de los sectores aquí contemplados.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49" w:anchor="1" w:history="1">
        <w:r w:rsidRPr="00186F49">
          <w:rPr>
            <w:rFonts w:ascii="Arial" w:eastAsia="Times New Roman" w:hAnsi="Arial" w:cs="Arial"/>
            <w:color w:val="0000FF"/>
            <w:kern w:val="0"/>
            <w:szCs w:val="24"/>
            <w:u w:val="single"/>
            <w:lang w:eastAsia="es-ES"/>
          </w:rPr>
          <w:t>Ver el Decreto Nacional 691 de 1994</w:t>
        </w:r>
      </w:hyperlink>
      <w:r w:rsidRPr="00186F49">
        <w:rPr>
          <w:rFonts w:ascii="Arial" w:eastAsia="Times New Roman" w:hAnsi="Arial" w:cs="Arial"/>
          <w:kern w:val="0"/>
          <w:szCs w:val="24"/>
          <w:lang w:eastAsia="es-ES"/>
        </w:rPr>
        <w:t xml:space="preserve"> </w:t>
      </w:r>
      <w:hyperlink r:id="rId250" w:anchor="1" w:history="1">
        <w:r w:rsidRPr="00186F49">
          <w:rPr>
            <w:rFonts w:ascii="Arial" w:eastAsia="Times New Roman" w:hAnsi="Arial" w:cs="Arial"/>
            <w:color w:val="0000FF"/>
            <w:kern w:val="0"/>
            <w:szCs w:val="24"/>
            <w:u w:val="single"/>
            <w:lang w:eastAsia="es-ES"/>
          </w:rPr>
          <w:t>Ver Art. 14 Decreto Nacional 1703 de 2002</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280-Aportes a los fondos de solidaridad</w:t>
      </w:r>
      <w:r w:rsidRPr="00186F49">
        <w:rPr>
          <w:rFonts w:ascii="Arial" w:eastAsia="Times New Roman" w:hAnsi="Arial" w:cs="Arial"/>
          <w:kern w:val="0"/>
          <w:szCs w:val="24"/>
          <w:lang w:eastAsia="es-ES"/>
        </w:rPr>
        <w:t>. Los aportes para los fondos de solidaridad en los regímenes de salud y pensiones consagrados en los artículos 27 y 204 de esta ley serán obligatorios en todos los casos y sin excepciones. Su obligatoriedad rige a partir del 1º de abril de 1994 en las instituciones, regímenes y con respecto también a las personas que por cualquier circunstancia gocen de excepciones totales o parciales previstas en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En consecuencia, a partir del 1º de abril de 1994, el aporte en salud pasará del 7% al 8% y cuando se preste la cobertura familiar, el punto de cotización para solidaridad estará incluido, en todo caso, en la cotización máxima del 12%.</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hyperlink r:id="rId251" w:anchor="1" w:history="1">
        <w:r w:rsidRPr="00186F49">
          <w:rPr>
            <w:rFonts w:ascii="Arial" w:eastAsia="Times New Roman" w:hAnsi="Arial" w:cs="Arial"/>
            <w:color w:val="0000FF"/>
            <w:kern w:val="0"/>
            <w:szCs w:val="24"/>
            <w:u w:val="single"/>
            <w:lang w:eastAsia="es-ES"/>
          </w:rPr>
          <w:t>Ver el Decreto Nacional 691 de 1994</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6" w:name="BM281"/>
      <w:r w:rsidRPr="00186F49">
        <w:rPr>
          <w:rFonts w:ascii="Arial" w:eastAsia="Times New Roman" w:hAnsi="Arial" w:cs="Arial"/>
          <w:b/>
          <w:bCs/>
          <w:kern w:val="0"/>
          <w:szCs w:val="24"/>
          <w:lang w:eastAsia="es-ES"/>
        </w:rPr>
        <w:t> </w:t>
      </w:r>
      <w:bookmarkEnd w:id="106"/>
      <w:r w:rsidRPr="00186F49">
        <w:rPr>
          <w:rFonts w:ascii="Arial" w:eastAsia="Times New Roman" w:hAnsi="Arial" w:cs="Arial"/>
          <w:b/>
          <w:bCs/>
          <w:kern w:val="0"/>
          <w:szCs w:val="24"/>
          <w:lang w:eastAsia="es-ES"/>
        </w:rPr>
        <w:t>281.-Afiliación de trabajadores de la construcción y de las empresas de transporte público terrestre.</w:t>
      </w:r>
      <w:r w:rsidRPr="00186F49">
        <w:rPr>
          <w:rFonts w:ascii="Arial" w:eastAsia="Times New Roman" w:hAnsi="Arial" w:cs="Arial"/>
          <w:kern w:val="0"/>
          <w:szCs w:val="24"/>
          <w:lang w:eastAsia="es-ES"/>
        </w:rPr>
        <w:t>  </w:t>
      </w:r>
      <w:hyperlink r:id="rId252" w:anchor="113" w:history="1">
        <w:r w:rsidRPr="00186F49">
          <w:rPr>
            <w:rFonts w:ascii="Arial" w:eastAsia="Times New Roman" w:hAnsi="Arial" w:cs="Arial"/>
            <w:color w:val="0000FF"/>
            <w:kern w:val="0"/>
            <w:szCs w:val="24"/>
            <w:u w:val="single"/>
            <w:lang w:eastAsia="es-ES"/>
          </w:rPr>
          <w:t>Modificado por el art. 113, Decreto Ley 2150 de 1995</w:t>
        </w:r>
      </w:hyperlink>
      <w:r w:rsidRPr="00186F49">
        <w:rPr>
          <w:rFonts w:ascii="Arial" w:eastAsia="Times New Roman" w:hAnsi="Arial" w:cs="Arial"/>
          <w:kern w:val="0"/>
          <w:szCs w:val="24"/>
          <w:lang w:eastAsia="es-ES"/>
        </w:rPr>
        <w:t>. A partir de la vigencia de la presente ley y conforme a la reglamentación que para tal efecto expida el Gobierno Nacional, las licencias de construcción y de transporte público terrestre se otorgarán previa acreditación de la afiliación de la respectiva empresa a los organismos de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w:t>
      </w:r>
      <w:hyperlink r:id="rId253" w:anchor="118" w:history="1">
        <w:r w:rsidRPr="00186F49">
          <w:rPr>
            <w:rFonts w:ascii="Arial" w:eastAsia="Times New Roman" w:hAnsi="Arial" w:cs="Arial"/>
            <w:color w:val="0000FF"/>
            <w:kern w:val="0"/>
            <w:szCs w:val="24"/>
            <w:u w:val="single"/>
            <w:lang w:eastAsia="es-ES"/>
          </w:rPr>
          <w:t>Derogado por el art. 118, Decreto Ley 2150 de 1995</w:t>
        </w:r>
      </w:hyperlink>
      <w:r w:rsidRPr="00186F49">
        <w:rPr>
          <w:rFonts w:ascii="Arial" w:eastAsia="Times New Roman" w:hAnsi="Arial" w:cs="Arial"/>
          <w:kern w:val="0"/>
          <w:szCs w:val="24"/>
          <w:lang w:eastAsia="es-ES"/>
        </w:rPr>
        <w:t>. Los funcionarios competentes para el otorgamiento de los anteriores permisos que omitan exigir la acreditación de la afiliación, incurrirán en causal de mala conducta.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entidades, agremiaciones, corporaciones u otras sociedades de derecho privado que administran recursos de la Nación o parafiscales, exigirán a sus afiliados que acrediten la afiliación de los trabajadores a su cargo a los organismos de seguridad social.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 violación a lo dispuesto en el presente artículo, será sancionada de conformidad con el reglamento que para tal efecto se expida, que podrá incluir desde multas hasta la revocatoria de la administración de los recursos de que trata el inciso anterior o la suspensión de las licencias respectivas.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7" w:name="BM282"/>
      <w:r w:rsidRPr="00186F49">
        <w:rPr>
          <w:rFonts w:ascii="Arial" w:eastAsia="Times New Roman" w:hAnsi="Arial" w:cs="Arial"/>
          <w:b/>
          <w:bCs/>
          <w:kern w:val="0"/>
          <w:szCs w:val="24"/>
          <w:lang w:eastAsia="es-ES"/>
        </w:rPr>
        <w:t> </w:t>
      </w:r>
      <w:bookmarkEnd w:id="107"/>
      <w:r w:rsidRPr="00186F49">
        <w:rPr>
          <w:rFonts w:ascii="Arial" w:eastAsia="Times New Roman" w:hAnsi="Arial" w:cs="Arial"/>
          <w:b/>
          <w:bCs/>
          <w:kern w:val="0"/>
          <w:szCs w:val="24"/>
          <w:lang w:eastAsia="es-ES"/>
        </w:rPr>
        <w:t>282.-</w:t>
      </w:r>
      <w:r w:rsidRPr="00186F49">
        <w:rPr>
          <w:rFonts w:ascii="Arial" w:eastAsia="Times New Roman" w:hAnsi="Arial" w:cs="Arial"/>
          <w:kern w:val="0"/>
          <w:szCs w:val="24"/>
          <w:lang w:eastAsia="es-ES"/>
        </w:rPr>
        <w:t xml:space="preserve"> </w:t>
      </w:r>
      <w:r w:rsidRPr="00186F49">
        <w:rPr>
          <w:rFonts w:ascii="Arial" w:eastAsia="Times New Roman" w:hAnsi="Arial" w:cs="Arial"/>
          <w:b/>
          <w:bCs/>
          <w:kern w:val="0"/>
          <w:szCs w:val="24"/>
          <w:lang w:eastAsia="es-ES"/>
        </w:rPr>
        <w:t>Obligación de afiliación de contratistas del Estado</w:t>
      </w:r>
      <w:r w:rsidRPr="00186F49">
        <w:rPr>
          <w:rFonts w:ascii="Arial" w:eastAsia="Times New Roman" w:hAnsi="Arial" w:cs="Arial"/>
          <w:kern w:val="0"/>
          <w:szCs w:val="24"/>
          <w:lang w:eastAsia="es-ES"/>
        </w:rPr>
        <w:t xml:space="preserve">. </w:t>
      </w:r>
      <w:hyperlink r:id="rId254" w:anchor="114" w:history="1">
        <w:r w:rsidRPr="00186F49">
          <w:rPr>
            <w:rFonts w:ascii="Arial" w:eastAsia="Times New Roman" w:hAnsi="Arial" w:cs="Arial"/>
            <w:color w:val="0000FF"/>
            <w:kern w:val="0"/>
            <w:szCs w:val="24"/>
            <w:u w:val="single"/>
            <w:lang w:eastAsia="es-ES"/>
          </w:rPr>
          <w:t>Modificado por el art. 114, Decreto Ley 2150 de 1995</w:t>
        </w:r>
      </w:hyperlink>
      <w:r w:rsidRPr="00186F49">
        <w:rPr>
          <w:rFonts w:ascii="Arial" w:eastAsia="Times New Roman" w:hAnsi="Arial" w:cs="Arial"/>
          <w:kern w:val="0"/>
          <w:szCs w:val="24"/>
          <w:lang w:eastAsia="es-ES"/>
        </w:rPr>
        <w:t>. Ninguna persona natural podrá prestar directamente sus servicios al Estado, bajo la modalidad de contrato de prestación de servicios, sin afiliarse a los sistemas de pensiones y salud previstos en la presente ley. </w:t>
      </w:r>
      <w:hyperlink r:id="rId255" w:anchor="0" w:history="1">
        <w:r w:rsidRPr="00186F49">
          <w:rPr>
            <w:rFonts w:ascii="Arial" w:eastAsia="Times New Roman" w:hAnsi="Arial" w:cs="Arial"/>
            <w:color w:val="0000FF"/>
            <w:kern w:val="0"/>
            <w:szCs w:val="24"/>
            <w:u w:val="single"/>
            <w:lang w:eastAsia="es-ES"/>
          </w:rPr>
          <w:t>Ver el Concepto del Min Protección 3825 de 2005</w:t>
        </w:r>
      </w:hyperlink>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283.-Exclusividad.</w:t>
      </w:r>
      <w:r w:rsidRPr="00186F49">
        <w:rPr>
          <w:rFonts w:ascii="Arial" w:eastAsia="Times New Roman" w:hAnsi="Arial" w:cs="Arial"/>
          <w:kern w:val="0"/>
          <w:szCs w:val="24"/>
          <w:lang w:eastAsia="es-ES"/>
        </w:rPr>
        <w:t xml:space="preserve"> </w:t>
      </w:r>
      <w:hyperlink r:id="rId256" w:anchor="1" w:history="1">
        <w:r w:rsidRPr="00186F49">
          <w:rPr>
            <w:rFonts w:ascii="Arial" w:eastAsia="Times New Roman" w:hAnsi="Arial" w:cs="Arial"/>
            <w:color w:val="0000FF"/>
            <w:kern w:val="0"/>
            <w:szCs w:val="24"/>
            <w:u w:val="single"/>
            <w:lang w:eastAsia="es-ES"/>
          </w:rPr>
          <w:t>Reglamentado parcialmente por el Decreto Nacional 941 de 2002</w:t>
        </w:r>
      </w:hyperlink>
      <w:r w:rsidRPr="00186F49">
        <w:rPr>
          <w:rFonts w:ascii="Arial" w:eastAsia="Times New Roman" w:hAnsi="Arial" w:cs="Arial"/>
          <w:kern w:val="0"/>
          <w:szCs w:val="24"/>
          <w:lang w:eastAsia="es-ES"/>
        </w:rPr>
        <w:t xml:space="preserve">   , </w:t>
      </w:r>
      <w:hyperlink r:id="rId257" w:anchor="0" w:history="1">
        <w:r w:rsidRPr="00186F49">
          <w:rPr>
            <w:rFonts w:ascii="Arial" w:eastAsia="Times New Roman" w:hAnsi="Arial" w:cs="Arial"/>
            <w:color w:val="0000FF"/>
            <w:kern w:val="0"/>
            <w:szCs w:val="24"/>
            <w:u w:val="single"/>
            <w:lang w:eastAsia="es-ES"/>
          </w:rPr>
          <w:t>Reglamentado por el Decreto Nacional 2337 de 1996</w:t>
        </w:r>
      </w:hyperlink>
      <w:r w:rsidRPr="00186F49">
        <w:rPr>
          <w:rFonts w:ascii="Arial" w:eastAsia="Times New Roman" w:hAnsi="Arial" w:cs="Arial"/>
          <w:kern w:val="0"/>
          <w:szCs w:val="24"/>
          <w:lang w:eastAsia="es-ES"/>
        </w:rPr>
        <w:t xml:space="preserve">. El sistema de seguridad social integral, con cargo a las cotizaciones previstas </w:t>
      </w:r>
      <w:r w:rsidRPr="00186F49">
        <w:rPr>
          <w:rFonts w:ascii="Arial" w:eastAsia="Times New Roman" w:hAnsi="Arial" w:cs="Arial"/>
          <w:kern w:val="0"/>
          <w:szCs w:val="24"/>
          <w:lang w:eastAsia="es-ES"/>
        </w:rPr>
        <w:lastRenderedPageBreak/>
        <w:t>en la presente ley, pagará exclusivamente las prestaciones consagradas en la misma.</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Los recursos destinados para el pago de las prestaciones diferentes a las consagradas en la presente ley para el sector público, se constituirán como patrimonios autónomos administrados por encargo fiduciario, cuando las reservas requeridas para dichas prestaciones, excedan las proporciones de activos que para el efecto establezca el Gobierno Nacional.</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Aquellas convenciones que hacia el futuro se llegaren a pactar en condiciones diferentes a las establecidas en la presente ley, deberán contar con los recursos respectivos para su garantía, en la forma que lo acuerden empleadores y trabajadores.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Esta ley no vulnera derechos adquiridos mediante convenciones colectivas del sector privado o público, sin perjuicio del derecho denuncia que asiste a las partes.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284.-Aportes de los profesores de los establecimientos particulares.</w:t>
      </w:r>
      <w:r w:rsidRPr="00186F49">
        <w:rPr>
          <w:rFonts w:ascii="Arial" w:eastAsia="Times New Roman" w:hAnsi="Arial" w:cs="Arial"/>
          <w:kern w:val="0"/>
          <w:szCs w:val="24"/>
          <w:lang w:eastAsia="es-ES"/>
        </w:rPr>
        <w:t xml:space="preserve"> Los profesores de establecimientos particulares de enseñanza cuyo contrato de trabajo se entienda celebrado por el período escolar, tendrán derecho a que el empleador efectúe los aportes al sistema de seguridad social integral por la totalidad del período calendario respectivo, que corresponda al período escolar para el cual se contrate.</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8" w:name="BM285"/>
      <w:r w:rsidRPr="00186F49">
        <w:rPr>
          <w:rFonts w:ascii="Arial" w:eastAsia="Times New Roman" w:hAnsi="Arial" w:cs="Arial"/>
          <w:b/>
          <w:bCs/>
          <w:kern w:val="0"/>
          <w:szCs w:val="24"/>
          <w:lang w:eastAsia="es-ES"/>
        </w:rPr>
        <w:t> </w:t>
      </w:r>
      <w:bookmarkEnd w:id="108"/>
      <w:r w:rsidRPr="00186F49">
        <w:rPr>
          <w:rFonts w:ascii="Arial" w:eastAsia="Times New Roman" w:hAnsi="Arial" w:cs="Arial"/>
          <w:b/>
          <w:bCs/>
          <w:kern w:val="0"/>
          <w:szCs w:val="24"/>
          <w:lang w:eastAsia="es-ES"/>
        </w:rPr>
        <w:t xml:space="preserve">285.-Arbitrio rentístico de la Nación. </w:t>
      </w:r>
      <w:r w:rsidRPr="00186F49">
        <w:rPr>
          <w:rFonts w:ascii="Arial" w:eastAsia="Times New Roman" w:hAnsi="Arial" w:cs="Arial"/>
          <w:kern w:val="0"/>
          <w:szCs w:val="24"/>
          <w:lang w:eastAsia="es-ES"/>
        </w:rPr>
        <w:t>El artículo 42 de la Ley 10 de 1990 quedará así:</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Articulo. 42.-Arbitrio rentístico de la Nación. </w:t>
      </w:r>
      <w:proofErr w:type="spellStart"/>
      <w:r w:rsidRPr="00186F49">
        <w:rPr>
          <w:rFonts w:ascii="Arial" w:eastAsia="Times New Roman" w:hAnsi="Arial" w:cs="Arial"/>
          <w:kern w:val="0"/>
          <w:szCs w:val="24"/>
          <w:lang w:eastAsia="es-ES"/>
        </w:rPr>
        <w:t>Declárase</w:t>
      </w:r>
      <w:proofErr w:type="spellEnd"/>
      <w:r w:rsidRPr="00186F49">
        <w:rPr>
          <w:rFonts w:ascii="Arial" w:eastAsia="Times New Roman" w:hAnsi="Arial" w:cs="Arial"/>
          <w:kern w:val="0"/>
          <w:szCs w:val="24"/>
          <w:lang w:eastAsia="es-ES"/>
        </w:rPr>
        <w:t xml:space="preserve"> como arbitrio rentístico de la Nación la explotación monopólica, en beneficio del sector salud, de las modalidades de juegos de suerte y azar diferentes de las loterías y apuestas permanentes existentes y de las rifas menores aquí previstas.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 concesión de permisos para la ejecución de rifas que no sean de carácter permanente, cuyo plan de premios no exceda doscientos cincuenta (250) salarios mínimos mensuales y se ofrezcan al público exclusivamente en el territorio del respectivo municipio o distrito será facultad de los alcaldes municipales y distritales.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Las sumas recaudadas por concepto de permisos de explotación o impuestos generados por estas rifas se transferirán directamente al fondo local o distrital de salud.</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w:t>
      </w:r>
      <w:r w:rsidRPr="00186F49">
        <w:rPr>
          <w:rFonts w:ascii="Arial" w:eastAsia="Times New Roman" w:hAnsi="Arial" w:cs="Arial"/>
          <w:kern w:val="0"/>
          <w:szCs w:val="24"/>
          <w:lang w:eastAsia="es-ES"/>
        </w:rPr>
        <w:t>-El Gobierno Nacional reglamentará la organización y funcionamiento de estas rifas, así como su régimen tarifario.</w:t>
      </w:r>
      <w:r w:rsidRPr="00186F49">
        <w:rPr>
          <w:rFonts w:ascii="Arial" w:eastAsia="Times New Roman" w:hAnsi="Arial" w:cs="Arial"/>
          <w:kern w:val="0"/>
          <w:szCs w:val="24"/>
          <w:lang w:eastAsia="es-ES"/>
        </w:rPr>
        <w:br/>
      </w:r>
      <w:r w:rsidRPr="00186F49">
        <w:rPr>
          <w:rFonts w:ascii="Arial" w:eastAsia="Times New Roman" w:hAnsi="Arial" w:cs="Arial"/>
          <w:kern w:val="0"/>
          <w:szCs w:val="24"/>
          <w:lang w:eastAsia="es-ES"/>
        </w:rPr>
        <w:br/>
      </w:r>
      <w:r w:rsidRPr="00186F49">
        <w:rPr>
          <w:rFonts w:ascii="Arial" w:eastAsia="Times New Roman" w:hAnsi="Arial" w:cs="Arial"/>
          <w:b/>
          <w:bCs/>
          <w:kern w:val="0"/>
          <w:szCs w:val="24"/>
          <w:lang w:eastAsia="es-ES"/>
        </w:rPr>
        <w:t>ARTICULO. 286.- </w:t>
      </w:r>
      <w:hyperlink r:id="rId258" w:anchor="0" w:history="1">
        <w:r w:rsidRPr="00186F49">
          <w:rPr>
            <w:rFonts w:ascii="Arial" w:eastAsia="Times New Roman" w:hAnsi="Arial" w:cs="Arial"/>
            <w:color w:val="0000FF"/>
            <w:kern w:val="0"/>
            <w:szCs w:val="24"/>
            <w:u w:val="single"/>
            <w:lang w:eastAsia="es-ES"/>
          </w:rPr>
          <w:t xml:space="preserve">Reglamentado parcialmente por el Decreto Nacional 1779 de 2003. </w:t>
        </w:r>
      </w:hyperlink>
      <w:r w:rsidRPr="00186F49">
        <w:rPr>
          <w:rFonts w:ascii="Arial" w:eastAsia="Times New Roman" w:hAnsi="Arial" w:cs="Arial"/>
          <w:b/>
          <w:bCs/>
          <w:kern w:val="0"/>
          <w:szCs w:val="24"/>
          <w:lang w:eastAsia="es-ES"/>
        </w:rPr>
        <w:t>Disposición de activos de las entidades públicas.</w:t>
      </w:r>
      <w:r w:rsidRPr="00186F49">
        <w:rPr>
          <w:rFonts w:ascii="Arial" w:eastAsia="Times New Roman" w:hAnsi="Arial" w:cs="Arial"/>
          <w:kern w:val="0"/>
          <w:szCs w:val="24"/>
          <w:lang w:eastAsia="es-ES"/>
        </w:rPr>
        <w:t xml:space="preserve"> Cuando una entidad pública de seguridad social decida enajenar o arrendar bienes muebles o inmuebles dará condiciones preferenciales trazadas por la junta directiva del </w:t>
      </w:r>
      <w:r w:rsidRPr="00186F49">
        <w:rPr>
          <w:rFonts w:ascii="Arial" w:eastAsia="Times New Roman" w:hAnsi="Arial" w:cs="Arial"/>
          <w:kern w:val="0"/>
          <w:szCs w:val="24"/>
          <w:lang w:eastAsia="es-ES"/>
        </w:rPr>
        <w:lastRenderedPageBreak/>
        <w:t xml:space="preserve">organismo, a las personas jurídicas conformadas por sus </w:t>
      </w:r>
      <w:proofErr w:type="spellStart"/>
      <w:r w:rsidRPr="00186F49">
        <w:rPr>
          <w:rFonts w:ascii="Arial" w:eastAsia="Times New Roman" w:hAnsi="Arial" w:cs="Arial"/>
          <w:kern w:val="0"/>
          <w:szCs w:val="24"/>
          <w:lang w:eastAsia="es-ES"/>
        </w:rPr>
        <w:t>exfuncionarios</w:t>
      </w:r>
      <w:proofErr w:type="spellEnd"/>
      <w:r w:rsidRPr="00186F49">
        <w:rPr>
          <w:rFonts w:ascii="Arial" w:eastAsia="Times New Roman" w:hAnsi="Arial" w:cs="Arial"/>
          <w:kern w:val="0"/>
          <w:szCs w:val="24"/>
          <w:lang w:eastAsia="es-ES"/>
        </w:rPr>
        <w:t xml:space="preserve"> o en las que ellos hagan parte. Adicionalmente se ofrecerán condiciones especiales de crédito y plazos que faciliten la operación.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Igualmente se podrá dar en administración la totalidad o parte de las entidades de seguridad social a las personas jurídicas previstas en el inciso anterior, en condiciones preferenciales.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Cuando se contrate la prestación de servicios de salud, en lugares en los cuales no exista la suficiente infraestructura estatal, las personas jurídicas previstas en el inciso 1º no tendrán trato preferencial con respecto a otros oferentes.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xml:space="preserve">Las entidades públicas en reestructuración podrán contratar con las personas jurídicas constituidas por sus </w:t>
      </w:r>
      <w:proofErr w:type="spellStart"/>
      <w:r w:rsidRPr="00186F49">
        <w:rPr>
          <w:rFonts w:ascii="Arial" w:eastAsia="Times New Roman" w:hAnsi="Arial" w:cs="Arial"/>
          <w:kern w:val="0"/>
          <w:szCs w:val="24"/>
          <w:lang w:eastAsia="es-ES"/>
        </w:rPr>
        <w:t>exfuncionarios</w:t>
      </w:r>
      <w:proofErr w:type="spellEnd"/>
      <w:r w:rsidRPr="00186F49">
        <w:rPr>
          <w:rFonts w:ascii="Arial" w:eastAsia="Times New Roman" w:hAnsi="Arial" w:cs="Arial"/>
          <w:kern w:val="0"/>
          <w:szCs w:val="24"/>
          <w:lang w:eastAsia="es-ES"/>
        </w:rPr>
        <w:t xml:space="preserve"> o en las que estos hagan parte, a los cuales se les haya suprimido el empleo, pagado indemnización o pagado bonificación.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las personas previstas en este artículo que suscriban contrato no se les exigirá el requisito de tiempo de desvinculación para efecto de las inhabilidades de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PARAGRAFO. TRANSITORIO</w:t>
      </w:r>
      <w:r w:rsidRPr="00186F49">
        <w:rPr>
          <w:rFonts w:ascii="Arial" w:eastAsia="Times New Roman" w:hAnsi="Arial" w:cs="Arial"/>
          <w:kern w:val="0"/>
          <w:szCs w:val="24"/>
          <w:lang w:eastAsia="es-ES"/>
        </w:rPr>
        <w:t xml:space="preserve">.-Mientras se consolida la contratación integral, las entidades públicas prestadoras de servicios de salud, en proceso de reestructuración, que no pueden suspender la prestación de los servicios, podrán contratar con </w:t>
      </w:r>
      <w:proofErr w:type="spellStart"/>
      <w:r w:rsidRPr="00186F49">
        <w:rPr>
          <w:rFonts w:ascii="Arial" w:eastAsia="Times New Roman" w:hAnsi="Arial" w:cs="Arial"/>
          <w:kern w:val="0"/>
          <w:szCs w:val="24"/>
          <w:lang w:eastAsia="es-ES"/>
        </w:rPr>
        <w:t>exfuncionarios</w:t>
      </w:r>
      <w:proofErr w:type="spellEnd"/>
      <w:r w:rsidRPr="00186F49">
        <w:rPr>
          <w:rFonts w:ascii="Arial" w:eastAsia="Times New Roman" w:hAnsi="Arial" w:cs="Arial"/>
          <w:kern w:val="0"/>
          <w:szCs w:val="24"/>
          <w:lang w:eastAsia="es-ES"/>
        </w:rPr>
        <w:t xml:space="preserve"> de la misma entidad, aunque sean personas naturales a quienes se les haya suprimido el empleo, pagado indemnización o pagado bonificación.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También podrán contratar con personas jurídicas conformadas por funcionarios de la misma entidad a quienes se les suprimirá el empleo y se hayan constituido como personas jurídicas para tal fin.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A las personas previstas en este artículo que suscriban contratos no se les exigirá el requisito de tiempo de desvinculación para efectos de las inhabilidades de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09" w:name="BM287"/>
      <w:r w:rsidRPr="00186F49">
        <w:rPr>
          <w:rFonts w:ascii="Arial" w:eastAsia="Times New Roman" w:hAnsi="Arial" w:cs="Arial"/>
          <w:b/>
          <w:bCs/>
          <w:kern w:val="0"/>
          <w:szCs w:val="24"/>
          <w:lang w:eastAsia="es-ES"/>
        </w:rPr>
        <w:t> </w:t>
      </w:r>
      <w:bookmarkEnd w:id="109"/>
      <w:r w:rsidRPr="00186F49">
        <w:rPr>
          <w:rFonts w:ascii="Arial" w:eastAsia="Times New Roman" w:hAnsi="Arial" w:cs="Arial"/>
          <w:b/>
          <w:bCs/>
          <w:kern w:val="0"/>
          <w:szCs w:val="24"/>
          <w:lang w:eastAsia="es-ES"/>
        </w:rPr>
        <w:t>287.- </w:t>
      </w:r>
      <w:hyperlink r:id="rId259" w:anchor="0" w:history="1">
        <w:r w:rsidRPr="00186F49">
          <w:rPr>
            <w:rFonts w:ascii="Arial" w:eastAsia="Times New Roman" w:hAnsi="Arial" w:cs="Arial"/>
            <w:color w:val="0000FF"/>
            <w:kern w:val="0"/>
            <w:szCs w:val="24"/>
            <w:u w:val="single"/>
            <w:lang w:eastAsia="es-ES"/>
          </w:rPr>
          <w:t>Reglamentado por el Decreto Nacional 1465 de 2005</w:t>
        </w:r>
      </w:hyperlink>
      <w:r w:rsidRPr="00186F49">
        <w:rPr>
          <w:rFonts w:ascii="Arial" w:eastAsia="Times New Roman" w:hAnsi="Arial" w:cs="Arial"/>
          <w:b/>
          <w:bCs/>
          <w:kern w:val="0"/>
          <w:szCs w:val="24"/>
          <w:lang w:eastAsia="es-ES"/>
        </w:rPr>
        <w:t>. Actividades propias de los intermediarios en las entidades de seguridad social</w:t>
      </w:r>
      <w:r w:rsidRPr="00186F49">
        <w:rPr>
          <w:rFonts w:ascii="Arial" w:eastAsia="Times New Roman" w:hAnsi="Arial" w:cs="Arial"/>
          <w:kern w:val="0"/>
          <w:szCs w:val="24"/>
          <w:lang w:eastAsia="es-ES"/>
        </w:rPr>
        <w:t>. Las entidades de seguridad social, las entidades promotoras de salud y las sociedades administradoras de fondos de cesantía y/o de pensiones podrán realizar las actividades de promoción y ventas, la administración de la relación con sus afiliados, el recaudo, pago y transferencia de los recursos por intermedio de instituciones financieras, intermediarios de seguros u otras entidades, con el fin de ejecutar, las actividades propias de los servicios que ofrezcan.</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El gobierno reglamentará la actividad de estos intermediarios, regulando su organización, actividades, responsabilidades, vigilancia y sanciones a que estarán sujetos.</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lastRenderedPageBreak/>
        <w:t>Ver el Decreto Nacional 2241 de 2010</w:t>
      </w:r>
      <w:r w:rsidRPr="00186F49">
        <w:rPr>
          <w:rFonts w:ascii="Arial" w:eastAsia="Times New Roman" w:hAnsi="Arial" w:cs="Arial"/>
          <w:kern w:val="0"/>
          <w:szCs w:val="24"/>
          <w:lang w:eastAsia="es-ES"/>
        </w:rPr>
        <w:t xml:space="preserve"> </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288.-Aplicación de las disposiciones contenidas en la presente ley y en las leyes anteriores</w:t>
      </w:r>
      <w:r w:rsidRPr="00186F49">
        <w:rPr>
          <w:rFonts w:ascii="Arial" w:eastAsia="Times New Roman" w:hAnsi="Arial" w:cs="Arial"/>
          <w:kern w:val="0"/>
          <w:szCs w:val="24"/>
          <w:lang w:eastAsia="es-ES"/>
        </w:rPr>
        <w:t>. Todo trabajador privado u oficial, funcionario público, empleado público y servidor público tiene derecho a la vigencia de la presente ley le sea aplicable cualquier norma en ella contenida que estime favorable ante el cotejo con lo dispuesto en leyes anteriores sobre la misma materia, siempre que se someta a la totalidad de disposiciones de esta ley.</w:t>
      </w:r>
    </w:p>
    <w:p w:rsidR="00186F49" w:rsidRPr="00186F49" w:rsidRDefault="00186F49" w:rsidP="00186F49">
      <w:pPr>
        <w:spacing w:before="100" w:beforeAutospacing="1" w:after="100" w:afterAutospacing="1"/>
        <w:jc w:val="left"/>
        <w:rPr>
          <w:rFonts w:ascii="Arial" w:eastAsia="Times New Roman" w:hAnsi="Arial" w:cs="Arial"/>
          <w:kern w:val="0"/>
          <w:szCs w:val="24"/>
          <w:lang w:eastAsia="es-ES"/>
        </w:rPr>
      </w:pPr>
      <w:r w:rsidRPr="00186F49">
        <w:rPr>
          <w:rFonts w:ascii="Arial" w:eastAsia="Times New Roman" w:hAnsi="Arial" w:cs="Arial"/>
          <w:b/>
          <w:bCs/>
          <w:kern w:val="0"/>
          <w:szCs w:val="24"/>
          <w:lang w:eastAsia="es-ES"/>
        </w:rPr>
        <w:t>ARTICULO. </w:t>
      </w:r>
      <w:bookmarkStart w:id="110" w:name="BM289"/>
      <w:r w:rsidRPr="00186F49">
        <w:rPr>
          <w:rFonts w:ascii="Arial" w:eastAsia="Times New Roman" w:hAnsi="Arial" w:cs="Arial"/>
          <w:b/>
          <w:bCs/>
          <w:kern w:val="0"/>
          <w:szCs w:val="24"/>
          <w:lang w:eastAsia="es-ES"/>
        </w:rPr>
        <w:t> </w:t>
      </w:r>
      <w:bookmarkEnd w:id="110"/>
      <w:r w:rsidRPr="00186F49">
        <w:rPr>
          <w:rFonts w:ascii="Arial" w:eastAsia="Times New Roman" w:hAnsi="Arial" w:cs="Arial"/>
          <w:b/>
          <w:bCs/>
          <w:kern w:val="0"/>
          <w:szCs w:val="24"/>
          <w:lang w:eastAsia="es-ES"/>
        </w:rPr>
        <w:t>289</w:t>
      </w:r>
      <w:r w:rsidRPr="00186F49">
        <w:rPr>
          <w:rFonts w:ascii="Arial" w:eastAsia="Times New Roman" w:hAnsi="Arial" w:cs="Arial"/>
          <w:kern w:val="0"/>
          <w:szCs w:val="24"/>
          <w:lang w:eastAsia="es-ES"/>
        </w:rPr>
        <w:t>. -Vigencia y derogatorias. La presente ley rige a partir de la fecha de su publicación, salvaguarda los derechos adquiridos y deroga todas las disposiciones que le sean contrarias, en especial el artículo 2º de la Ley 4ª de 1966, el artículo 5º de la Ley 33 de 1985, el parágrafo del artículo 7º de la Ley 71 de 1988, los artículos 260, 268, 269, 270, 271 y 272 del Código Sustantivo del Trabajo y demás normas que los modifiquen o adicionen.</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Presidente Del Honorable Senado de la </w:t>
      </w:r>
      <w:proofErr w:type="spellStart"/>
      <w:r w:rsidRPr="00186F49">
        <w:rPr>
          <w:rFonts w:ascii="Arial" w:eastAsia="Times New Roman" w:hAnsi="Arial" w:cs="Arial"/>
          <w:b/>
          <w:bCs/>
          <w:kern w:val="0"/>
          <w:szCs w:val="24"/>
          <w:lang w:eastAsia="es-ES"/>
        </w:rPr>
        <w:t>Republica</w:t>
      </w:r>
      <w:proofErr w:type="spellEnd"/>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Jorge </w:t>
      </w:r>
      <w:proofErr w:type="spellStart"/>
      <w:r w:rsidRPr="00186F49">
        <w:rPr>
          <w:rFonts w:ascii="Arial" w:eastAsia="Times New Roman" w:hAnsi="Arial" w:cs="Arial"/>
          <w:b/>
          <w:bCs/>
          <w:kern w:val="0"/>
          <w:szCs w:val="24"/>
          <w:lang w:eastAsia="es-ES"/>
        </w:rPr>
        <w:t>Ramon</w:t>
      </w:r>
      <w:proofErr w:type="spellEnd"/>
      <w:r w:rsidRPr="00186F49">
        <w:rPr>
          <w:rFonts w:ascii="Arial" w:eastAsia="Times New Roman" w:hAnsi="Arial" w:cs="Arial"/>
          <w:b/>
          <w:bCs/>
          <w:kern w:val="0"/>
          <w:szCs w:val="24"/>
          <w:lang w:eastAsia="es-ES"/>
        </w:rPr>
        <w:t xml:space="preserve"> </w:t>
      </w:r>
      <w:proofErr w:type="spellStart"/>
      <w:r w:rsidRPr="00186F49">
        <w:rPr>
          <w:rFonts w:ascii="Arial" w:eastAsia="Times New Roman" w:hAnsi="Arial" w:cs="Arial"/>
          <w:b/>
          <w:bCs/>
          <w:kern w:val="0"/>
          <w:szCs w:val="24"/>
          <w:lang w:eastAsia="es-ES"/>
        </w:rPr>
        <w:t>Elias</w:t>
      </w:r>
      <w:proofErr w:type="spellEnd"/>
      <w:r w:rsidRPr="00186F49">
        <w:rPr>
          <w:rFonts w:ascii="Arial" w:eastAsia="Times New Roman" w:hAnsi="Arial" w:cs="Arial"/>
          <w:b/>
          <w:bCs/>
          <w:kern w:val="0"/>
          <w:szCs w:val="24"/>
          <w:lang w:eastAsia="es-ES"/>
        </w:rPr>
        <w:t xml:space="preserve"> Nader</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Secretario General del honorable Senado de la </w:t>
      </w:r>
      <w:proofErr w:type="spellStart"/>
      <w:r w:rsidRPr="00186F49">
        <w:rPr>
          <w:rFonts w:ascii="Arial" w:eastAsia="Times New Roman" w:hAnsi="Arial" w:cs="Arial"/>
          <w:b/>
          <w:bCs/>
          <w:kern w:val="0"/>
          <w:szCs w:val="24"/>
          <w:lang w:eastAsia="es-ES"/>
        </w:rPr>
        <w:t>Republica</w:t>
      </w:r>
      <w:proofErr w:type="spellEnd"/>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Pedro </w:t>
      </w:r>
      <w:proofErr w:type="spellStart"/>
      <w:r w:rsidRPr="00186F49">
        <w:rPr>
          <w:rFonts w:ascii="Arial" w:eastAsia="Times New Roman" w:hAnsi="Arial" w:cs="Arial"/>
          <w:b/>
          <w:bCs/>
          <w:kern w:val="0"/>
          <w:szCs w:val="24"/>
          <w:lang w:eastAsia="es-ES"/>
        </w:rPr>
        <w:t>Pumarejo</w:t>
      </w:r>
      <w:proofErr w:type="spellEnd"/>
      <w:r w:rsidRPr="00186F49">
        <w:rPr>
          <w:rFonts w:ascii="Arial" w:eastAsia="Times New Roman" w:hAnsi="Arial" w:cs="Arial"/>
          <w:b/>
          <w:bCs/>
          <w:kern w:val="0"/>
          <w:szCs w:val="24"/>
          <w:lang w:eastAsia="es-ES"/>
        </w:rPr>
        <w:t xml:space="preserve"> Vega</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Presidente de la Honorable </w:t>
      </w:r>
      <w:proofErr w:type="spellStart"/>
      <w:r w:rsidRPr="00186F49">
        <w:rPr>
          <w:rFonts w:ascii="Arial" w:eastAsia="Times New Roman" w:hAnsi="Arial" w:cs="Arial"/>
          <w:b/>
          <w:bCs/>
          <w:kern w:val="0"/>
          <w:szCs w:val="24"/>
          <w:lang w:eastAsia="es-ES"/>
        </w:rPr>
        <w:t>Camara</w:t>
      </w:r>
      <w:proofErr w:type="spellEnd"/>
      <w:r w:rsidRPr="00186F49">
        <w:rPr>
          <w:rFonts w:ascii="Arial" w:eastAsia="Times New Roman" w:hAnsi="Arial" w:cs="Arial"/>
          <w:b/>
          <w:bCs/>
          <w:kern w:val="0"/>
          <w:szCs w:val="24"/>
          <w:lang w:eastAsia="es-ES"/>
        </w:rPr>
        <w:t xml:space="preserve"> de Representantes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Francisco </w:t>
      </w:r>
      <w:proofErr w:type="spellStart"/>
      <w:r w:rsidRPr="00186F49">
        <w:rPr>
          <w:rFonts w:ascii="Arial" w:eastAsia="Times New Roman" w:hAnsi="Arial" w:cs="Arial"/>
          <w:b/>
          <w:bCs/>
          <w:kern w:val="0"/>
          <w:szCs w:val="24"/>
          <w:lang w:eastAsia="es-ES"/>
        </w:rPr>
        <w:t>Jose</w:t>
      </w:r>
      <w:proofErr w:type="spellEnd"/>
      <w:r w:rsidRPr="00186F49">
        <w:rPr>
          <w:rFonts w:ascii="Arial" w:eastAsia="Times New Roman" w:hAnsi="Arial" w:cs="Arial"/>
          <w:b/>
          <w:bCs/>
          <w:kern w:val="0"/>
          <w:szCs w:val="24"/>
          <w:lang w:eastAsia="es-ES"/>
        </w:rPr>
        <w:t xml:space="preserve"> </w:t>
      </w:r>
      <w:proofErr w:type="spellStart"/>
      <w:r w:rsidRPr="00186F49">
        <w:rPr>
          <w:rFonts w:ascii="Arial" w:eastAsia="Times New Roman" w:hAnsi="Arial" w:cs="Arial"/>
          <w:b/>
          <w:bCs/>
          <w:kern w:val="0"/>
          <w:szCs w:val="24"/>
          <w:lang w:eastAsia="es-ES"/>
        </w:rPr>
        <w:t>Jattin</w:t>
      </w:r>
      <w:proofErr w:type="spellEnd"/>
      <w:r w:rsidRPr="00186F49">
        <w:rPr>
          <w:rFonts w:ascii="Arial" w:eastAsia="Times New Roman" w:hAnsi="Arial" w:cs="Arial"/>
          <w:b/>
          <w:bCs/>
          <w:kern w:val="0"/>
          <w:szCs w:val="24"/>
          <w:lang w:eastAsia="es-ES"/>
        </w:rPr>
        <w:t xml:space="preserve"> </w:t>
      </w:r>
      <w:proofErr w:type="spellStart"/>
      <w:r w:rsidRPr="00186F49">
        <w:rPr>
          <w:rFonts w:ascii="Arial" w:eastAsia="Times New Roman" w:hAnsi="Arial" w:cs="Arial"/>
          <w:b/>
          <w:bCs/>
          <w:kern w:val="0"/>
          <w:szCs w:val="24"/>
          <w:lang w:eastAsia="es-ES"/>
        </w:rPr>
        <w:t>Safar</w:t>
      </w:r>
      <w:proofErr w:type="spellEnd"/>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 xml:space="preserve">El Secretario de la Honorable </w:t>
      </w:r>
      <w:proofErr w:type="spellStart"/>
      <w:r w:rsidRPr="00186F49">
        <w:rPr>
          <w:rFonts w:ascii="Arial" w:eastAsia="Times New Roman" w:hAnsi="Arial" w:cs="Arial"/>
          <w:b/>
          <w:bCs/>
          <w:kern w:val="0"/>
          <w:szCs w:val="24"/>
          <w:lang w:eastAsia="es-ES"/>
        </w:rPr>
        <w:t>Camara</w:t>
      </w:r>
      <w:proofErr w:type="spellEnd"/>
      <w:r w:rsidRPr="00186F49">
        <w:rPr>
          <w:rFonts w:ascii="Arial" w:eastAsia="Times New Roman" w:hAnsi="Arial" w:cs="Arial"/>
          <w:b/>
          <w:bCs/>
          <w:kern w:val="0"/>
          <w:szCs w:val="24"/>
          <w:lang w:eastAsia="es-ES"/>
        </w:rPr>
        <w:t xml:space="preserve"> de Representantes</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Diego Vivas Tafur</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proofErr w:type="spellStart"/>
      <w:r w:rsidRPr="00186F49">
        <w:rPr>
          <w:rFonts w:ascii="Arial" w:eastAsia="Times New Roman" w:hAnsi="Arial" w:cs="Arial"/>
          <w:b/>
          <w:bCs/>
          <w:kern w:val="0"/>
          <w:szCs w:val="24"/>
          <w:lang w:eastAsia="es-ES"/>
        </w:rPr>
        <w:t>Republica</w:t>
      </w:r>
      <w:proofErr w:type="spellEnd"/>
      <w:r w:rsidRPr="00186F49">
        <w:rPr>
          <w:rFonts w:ascii="Arial" w:eastAsia="Times New Roman" w:hAnsi="Arial" w:cs="Arial"/>
          <w:b/>
          <w:bCs/>
          <w:kern w:val="0"/>
          <w:szCs w:val="24"/>
          <w:lang w:eastAsia="es-ES"/>
        </w:rPr>
        <w:t xml:space="preserve"> de Colombia- Gobierno Nacional </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Publíquese y ejecútese.</w:t>
      </w:r>
    </w:p>
    <w:p w:rsidR="00186F49" w:rsidRPr="00186F49" w:rsidRDefault="00186F49" w:rsidP="00186F49">
      <w:pPr>
        <w:spacing w:before="100" w:beforeAutospacing="1" w:after="100" w:afterAutospacing="1"/>
        <w:jc w:val="center"/>
        <w:rPr>
          <w:rFonts w:ascii="Arial" w:eastAsia="Times New Roman" w:hAnsi="Arial" w:cs="Arial"/>
          <w:b/>
          <w:bCs/>
          <w:kern w:val="0"/>
          <w:szCs w:val="24"/>
          <w:lang w:eastAsia="es-ES"/>
        </w:rPr>
      </w:pPr>
      <w:r w:rsidRPr="00186F49">
        <w:rPr>
          <w:rFonts w:ascii="Arial" w:eastAsia="Times New Roman" w:hAnsi="Arial" w:cs="Arial"/>
          <w:b/>
          <w:bCs/>
          <w:kern w:val="0"/>
          <w:szCs w:val="24"/>
          <w:lang w:eastAsia="es-ES"/>
        </w:rPr>
        <w:t>Dada en Santafé de Bogotá, D.C., a 23 de diciembre de 1993.</w:t>
      </w:r>
    </w:p>
    <w:tbl>
      <w:tblPr>
        <w:tblW w:w="5000" w:type="pct"/>
        <w:tblCellSpacing w:w="0" w:type="dxa"/>
        <w:tblCellMar>
          <w:left w:w="0" w:type="dxa"/>
          <w:right w:w="0" w:type="dxa"/>
        </w:tblCellMar>
        <w:tblLook w:val="04A0"/>
      </w:tblPr>
      <w:tblGrid>
        <w:gridCol w:w="8504"/>
      </w:tblGrid>
      <w:tr w:rsidR="00186F49" w:rsidRPr="00186F49" w:rsidTr="00186F49">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81"/>
            </w:tblGrid>
            <w:tr w:rsidR="00186F49" w:rsidRPr="00186F49">
              <w:trPr>
                <w:tblCellSpacing w:w="0" w:type="dxa"/>
                <w:jc w:val="right"/>
              </w:trPr>
              <w:tc>
                <w:tcPr>
                  <w:tcW w:w="0" w:type="auto"/>
                  <w:shd w:val="clear" w:color="auto" w:fill="693427"/>
                  <w:vAlign w:val="center"/>
                  <w:hideMark/>
                </w:tcPr>
                <w:p w:rsidR="00186F49" w:rsidRPr="00186F49" w:rsidRDefault="00186F49" w:rsidP="00186F49">
                  <w:pPr>
                    <w:spacing w:after="0"/>
                    <w:jc w:val="right"/>
                    <w:rPr>
                      <w:rFonts w:ascii="Arial" w:eastAsia="Times New Roman" w:hAnsi="Arial" w:cs="Arial"/>
                      <w:kern w:val="0"/>
                      <w:szCs w:val="24"/>
                      <w:lang w:eastAsia="es-ES"/>
                    </w:rPr>
                  </w:pPr>
                  <w:r>
                    <w:rPr>
                      <w:rFonts w:ascii="Arial" w:eastAsia="Times New Roman" w:hAnsi="Arial" w:cs="Arial"/>
                      <w:noProof/>
                      <w:kern w:val="0"/>
                      <w:szCs w:val="24"/>
                      <w:lang w:eastAsia="es-ES"/>
                    </w:rPr>
                    <w:drawing>
                      <wp:inline distT="0" distB="0" distL="0" distR="0">
                        <wp:extent cx="286385" cy="151130"/>
                        <wp:effectExtent l="19050" t="0" r="0" b="0"/>
                        <wp:docPr id="1" name="Imagen 1"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FFFFFFbr.gif"/>
                                <pic:cNvPicPr>
                                  <a:picLocks noChangeAspect="1" noChangeArrowheads="1"/>
                                </pic:cNvPicPr>
                              </pic:nvPicPr>
                              <pic:blipFill>
                                <a:blip r:embed="rId260"/>
                                <a:srcRect/>
                                <a:stretch>
                                  <a:fillRect/>
                                </a:stretch>
                              </pic:blipFill>
                              <pic:spPr bwMode="auto">
                                <a:xfrm>
                                  <a:off x="0" y="0"/>
                                  <a:ext cx="286385" cy="151130"/>
                                </a:xfrm>
                                <a:prstGeom prst="rect">
                                  <a:avLst/>
                                </a:prstGeom>
                                <a:noFill/>
                                <a:ln w="9525">
                                  <a:noFill/>
                                  <a:miter lim="800000"/>
                                  <a:headEnd/>
                                  <a:tailEnd/>
                                </a:ln>
                              </pic:spPr>
                            </pic:pic>
                          </a:graphicData>
                        </a:graphic>
                      </wp:inline>
                    </w:drawing>
                  </w:r>
                </w:p>
              </w:tc>
            </w:tr>
          </w:tbl>
          <w:p w:rsidR="00186F49" w:rsidRPr="00186F49" w:rsidRDefault="00186F49" w:rsidP="00186F49">
            <w:pPr>
              <w:spacing w:after="0"/>
              <w:jc w:val="right"/>
              <w:rPr>
                <w:rFonts w:ascii="Arial" w:eastAsia="Times New Roman" w:hAnsi="Arial" w:cs="Arial"/>
                <w:kern w:val="0"/>
                <w:szCs w:val="24"/>
                <w:lang w:eastAsia="es-ES"/>
              </w:rPr>
            </w:pPr>
          </w:p>
        </w:tc>
      </w:tr>
      <w:tr w:rsidR="00186F49" w:rsidRPr="00186F49" w:rsidTr="00186F49">
        <w:trPr>
          <w:trHeight w:val="210"/>
          <w:tblCellSpacing w:w="0" w:type="dxa"/>
        </w:trPr>
        <w:tc>
          <w:tcPr>
            <w:tcW w:w="0" w:type="auto"/>
            <w:shd w:val="clear" w:color="auto" w:fill="693427"/>
            <w:vAlign w:val="center"/>
            <w:hideMark/>
          </w:tcPr>
          <w:p w:rsidR="00186F49" w:rsidRPr="00186F49" w:rsidRDefault="00186F49" w:rsidP="00186F49">
            <w:pPr>
              <w:spacing w:after="0" w:line="210" w:lineRule="atLeast"/>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t> </w:t>
            </w:r>
          </w:p>
        </w:tc>
      </w:tr>
    </w:tbl>
    <w:p w:rsidR="00186F49" w:rsidRPr="00186F49" w:rsidRDefault="00186F49" w:rsidP="00186F49">
      <w:pPr>
        <w:spacing w:after="0"/>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br/>
        <w:t xml:space="preserve">  </w:t>
      </w:r>
    </w:p>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tblPr>
      <w:tblGrid>
        <w:gridCol w:w="8594"/>
      </w:tblGrid>
      <w:tr w:rsidR="00186F49" w:rsidRPr="00186F49" w:rsidTr="00186F49">
        <w:trPr>
          <w:tblCellSpacing w:w="15" w:type="dxa"/>
          <w:hidden/>
        </w:trPr>
        <w:tc>
          <w:tcPr>
            <w:tcW w:w="0" w:type="auto"/>
            <w:vAlign w:val="center"/>
            <w:hideMark/>
          </w:tcPr>
          <w:p w:rsidR="00186F49" w:rsidRPr="00186F49" w:rsidRDefault="00186F49" w:rsidP="00186F49">
            <w:pPr>
              <w:pBdr>
                <w:bottom w:val="single" w:sz="6" w:space="1" w:color="auto"/>
              </w:pBdr>
              <w:spacing w:after="0"/>
              <w:jc w:val="center"/>
              <w:rPr>
                <w:rFonts w:ascii="Arial" w:eastAsia="Times New Roman" w:hAnsi="Arial" w:cs="Arial"/>
                <w:vanish/>
                <w:kern w:val="0"/>
                <w:sz w:val="16"/>
                <w:szCs w:val="16"/>
                <w:lang w:eastAsia="es-ES"/>
              </w:rPr>
            </w:pPr>
            <w:r w:rsidRPr="00186F49">
              <w:rPr>
                <w:rFonts w:ascii="Arial" w:eastAsia="Times New Roman" w:hAnsi="Arial" w:cs="Arial"/>
                <w:vanish/>
                <w:kern w:val="0"/>
                <w:sz w:val="16"/>
                <w:szCs w:val="16"/>
                <w:lang w:eastAsia="es-ES"/>
              </w:rPr>
              <w:t>Principio del formulario</w:t>
            </w:r>
          </w:p>
          <w:p w:rsidR="00186F49" w:rsidRPr="00186F49" w:rsidRDefault="00186F49" w:rsidP="00186F49">
            <w:pPr>
              <w:pBdr>
                <w:top w:val="single" w:sz="6" w:space="1" w:color="auto"/>
              </w:pBdr>
              <w:spacing w:after="0"/>
              <w:jc w:val="center"/>
              <w:rPr>
                <w:rFonts w:ascii="Arial" w:eastAsia="Times New Roman" w:hAnsi="Arial" w:cs="Arial"/>
                <w:vanish/>
                <w:kern w:val="0"/>
                <w:sz w:val="16"/>
                <w:szCs w:val="16"/>
                <w:lang w:eastAsia="es-ES"/>
              </w:rPr>
            </w:pPr>
            <w:r w:rsidRPr="00186F49">
              <w:rPr>
                <w:rFonts w:ascii="Arial" w:eastAsia="Times New Roman" w:hAnsi="Arial" w:cs="Arial"/>
                <w:vanish/>
                <w:kern w:val="0"/>
                <w:sz w:val="16"/>
                <w:szCs w:val="16"/>
                <w:lang w:eastAsia="es-ES"/>
              </w:rPr>
              <w:t>Final del formulario</w:t>
            </w:r>
          </w:p>
        </w:tc>
      </w:tr>
    </w:tbl>
    <w:p w:rsidR="00186F49" w:rsidRPr="00186F49" w:rsidRDefault="00186F49" w:rsidP="00186F49">
      <w:pPr>
        <w:spacing w:after="0"/>
        <w:jc w:val="left"/>
        <w:rPr>
          <w:rFonts w:ascii="Arial" w:eastAsia="Times New Roman" w:hAnsi="Arial" w:cs="Arial"/>
          <w:kern w:val="0"/>
          <w:szCs w:val="24"/>
          <w:lang w:eastAsia="es-ES"/>
        </w:rPr>
      </w:pPr>
      <w:r w:rsidRPr="00186F49">
        <w:rPr>
          <w:rFonts w:ascii="Arial" w:eastAsia="Times New Roman" w:hAnsi="Arial" w:cs="Arial"/>
          <w:kern w:val="0"/>
          <w:szCs w:val="24"/>
          <w:lang w:eastAsia="es-ES"/>
        </w:rPr>
        <w:br/>
        <w:t xml:space="preserve">  </w:t>
      </w:r>
    </w:p>
    <w:tbl>
      <w:tblPr>
        <w:tblW w:w="5000" w:type="pct"/>
        <w:tblCellSpacing w:w="15" w:type="dxa"/>
        <w:tblCellMar>
          <w:top w:w="15" w:type="dxa"/>
          <w:left w:w="15" w:type="dxa"/>
          <w:bottom w:w="15" w:type="dxa"/>
          <w:right w:w="15" w:type="dxa"/>
        </w:tblCellMar>
        <w:tblLook w:val="04A0"/>
      </w:tblPr>
      <w:tblGrid>
        <w:gridCol w:w="87"/>
        <w:gridCol w:w="8507"/>
      </w:tblGrid>
      <w:tr w:rsidR="00186F49" w:rsidRPr="00186F49" w:rsidTr="00186F49">
        <w:trPr>
          <w:tblCellSpacing w:w="15" w:type="dxa"/>
        </w:trPr>
        <w:tc>
          <w:tcPr>
            <w:tcW w:w="0" w:type="auto"/>
            <w:gridSpan w:val="2"/>
            <w:shd w:val="clear" w:color="auto" w:fill="006699"/>
            <w:vAlign w:val="center"/>
            <w:hideMark/>
          </w:tcPr>
          <w:p w:rsidR="00186F49" w:rsidRPr="00186F49" w:rsidRDefault="00186F49" w:rsidP="00186F49">
            <w:pPr>
              <w:spacing w:after="0"/>
              <w:jc w:val="center"/>
              <w:rPr>
                <w:rFonts w:ascii="Arial" w:eastAsia="Times New Roman" w:hAnsi="Arial" w:cs="Arial"/>
                <w:kern w:val="0"/>
                <w:szCs w:val="24"/>
                <w:lang w:eastAsia="es-ES"/>
              </w:rPr>
            </w:pPr>
            <w:bookmarkStart w:id="111" w:name="HojaVida"/>
            <w:bookmarkEnd w:id="111"/>
            <w:r w:rsidRPr="00186F49">
              <w:rPr>
                <w:rFonts w:ascii="Arial" w:eastAsia="Times New Roman" w:hAnsi="Arial" w:cs="Arial"/>
                <w:b/>
                <w:bCs/>
                <w:color w:val="FFFFFF"/>
                <w:kern w:val="0"/>
                <w:sz w:val="20"/>
                <w:lang w:eastAsia="es-ES"/>
              </w:rPr>
              <w:t>HOJA DE VIDA DEL DOCUMENTO</w:t>
            </w:r>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eastAsia="Times New Roman" w:cs="Times New Roman"/>
                <w:kern w:val="0"/>
                <w:sz w:val="20"/>
                <w:szCs w:val="20"/>
                <w:lang w:eastAsia="es-ES"/>
              </w:rPr>
            </w:pPr>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1" w:anchor="5" w:history="1">
              <w:r w:rsidRPr="00186F49">
                <w:rPr>
                  <w:rFonts w:ascii="Arial" w:eastAsia="Times New Roman" w:hAnsi="Arial" w:cs="Arial"/>
                  <w:color w:val="0000FF"/>
                  <w:kern w:val="0"/>
                  <w:sz w:val="20"/>
                  <w:u w:val="single"/>
                  <w:lang w:eastAsia="es-ES"/>
                </w:rPr>
                <w:t>La Ley 344 de 1996 artículo 44, deroga el inciso segundo.</w:t>
              </w:r>
              <w:r w:rsidRPr="00186F49">
                <w:rPr>
                  <w:rFonts w:ascii="Arial" w:eastAsia="Times New Roman" w:hAnsi="Arial" w:cs="Arial"/>
                  <w:b/>
                  <w:bCs/>
                  <w:color w:val="0000FF"/>
                  <w:kern w:val="0"/>
                  <w:sz w:val="20"/>
                  <w:u w:val="single"/>
                  <w:lang w:eastAsia="es-ES"/>
                </w:rPr>
                <w:t xml:space="preserve">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2" w:anchor="4"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3" w:anchor="1" w:history="1">
              <w:r w:rsidRPr="00186F49">
                <w:rPr>
                  <w:rFonts w:ascii="Arial" w:eastAsia="Times New Roman" w:hAnsi="Arial" w:cs="Arial"/>
                  <w:color w:val="0000FF"/>
                  <w:kern w:val="0"/>
                  <w:sz w:val="20"/>
                  <w:u w:val="single"/>
                  <w:lang w:eastAsia="es-ES"/>
                </w:rPr>
                <w:t xml:space="preserve">Reglamentado parcialmente por el Decreto Nacional 941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4" w:anchor="4"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5" w:anchor="5"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6" w:anchor="6"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7" w:anchor="7"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8" w:anchor="8"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69" w:anchor="9"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0" w:anchor="10" w:history="1">
              <w:r w:rsidRPr="00186F49">
                <w:rPr>
                  <w:rFonts w:ascii="Arial" w:eastAsia="Times New Roman" w:hAnsi="Arial" w:cs="Arial"/>
                  <w:color w:val="0000FF"/>
                  <w:kern w:val="0"/>
                  <w:sz w:val="20"/>
                  <w:u w:val="single"/>
                  <w:lang w:eastAsia="es-ES"/>
                </w:rPr>
                <w:t xml:space="preserve">Modificado por el art. 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1" w:anchor="11" w:history="1">
              <w:r w:rsidRPr="00186F49">
                <w:rPr>
                  <w:rFonts w:ascii="Arial" w:eastAsia="Times New Roman" w:hAnsi="Arial" w:cs="Arial"/>
                  <w:color w:val="0000FF"/>
                  <w:kern w:val="0"/>
                  <w:sz w:val="20"/>
                  <w:u w:val="single"/>
                  <w:lang w:eastAsia="es-ES"/>
                </w:rPr>
                <w:t xml:space="preserve">Modificado por el art. 4,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2" w:anchor="12" w:history="1">
              <w:r w:rsidRPr="00186F49">
                <w:rPr>
                  <w:rFonts w:ascii="Arial" w:eastAsia="Times New Roman" w:hAnsi="Arial" w:cs="Arial"/>
                  <w:color w:val="0000FF"/>
                  <w:kern w:val="0"/>
                  <w:sz w:val="20"/>
                  <w:u w:val="single"/>
                  <w:lang w:eastAsia="es-ES"/>
                </w:rPr>
                <w:t xml:space="preserve">Modificado por el art. 5,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3" w:anchor="8"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4" w:anchor="9"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5" w:anchor="27" w:history="1">
              <w:r w:rsidRPr="00186F49">
                <w:rPr>
                  <w:rFonts w:ascii="Arial" w:eastAsia="Times New Roman" w:hAnsi="Arial" w:cs="Arial"/>
                  <w:color w:val="0000FF"/>
                  <w:kern w:val="0"/>
                  <w:sz w:val="20"/>
                  <w:u w:val="single"/>
                  <w:lang w:eastAsia="es-ES"/>
                </w:rPr>
                <w:t xml:space="preserve">Modificado por el art. 13,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6" w:anchor="10"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7" w:anchor="11"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8" w:anchor="12"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79" w:anchor="13"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0" w:anchor="3"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1" w:anchor="4"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2" w:anchor="26" w:history="1">
              <w:r w:rsidRPr="00186F49">
                <w:rPr>
                  <w:rFonts w:ascii="Arial" w:eastAsia="Times New Roman" w:hAnsi="Arial" w:cs="Arial"/>
                  <w:color w:val="0000FF"/>
                  <w:kern w:val="0"/>
                  <w:sz w:val="20"/>
                  <w:u w:val="single"/>
                  <w:lang w:eastAsia="es-ES"/>
                </w:rPr>
                <w:t xml:space="preserve">Modificado por el art. 14,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3" w:anchor="5"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4" w:anchor="6"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5" w:anchor="7"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6" w:anchor="22" w:history="1">
              <w:r w:rsidRPr="00186F49">
                <w:rPr>
                  <w:rFonts w:ascii="Arial" w:eastAsia="Times New Roman" w:hAnsi="Arial" w:cs="Arial"/>
                  <w:color w:val="0000FF"/>
                  <w:kern w:val="0"/>
                  <w:sz w:val="20"/>
                  <w:u w:val="single"/>
                  <w:lang w:eastAsia="es-ES"/>
                </w:rPr>
                <w:t xml:space="preserve">Modificado por el art. 11,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7" w:anchor="2"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8" w:anchor="23" w:history="1">
              <w:r w:rsidRPr="00186F49">
                <w:rPr>
                  <w:rFonts w:ascii="Arial" w:eastAsia="Times New Roman" w:hAnsi="Arial" w:cs="Arial"/>
                  <w:color w:val="0000FF"/>
                  <w:kern w:val="0"/>
                  <w:sz w:val="20"/>
                  <w:u w:val="single"/>
                  <w:lang w:eastAsia="es-ES"/>
                </w:rPr>
                <w:t xml:space="preserve">Modificado por el art. 12,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89" w:anchor="24" w:history="1">
              <w:r w:rsidRPr="00186F49">
                <w:rPr>
                  <w:rFonts w:ascii="Arial" w:eastAsia="Times New Roman" w:hAnsi="Arial" w:cs="Arial"/>
                  <w:color w:val="0000FF"/>
                  <w:kern w:val="0"/>
                  <w:sz w:val="20"/>
                  <w:u w:val="single"/>
                  <w:lang w:eastAsia="es-ES"/>
                </w:rPr>
                <w:t xml:space="preserve">Modificado por el art. 13,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0" w:anchor="3"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1" w:anchor="2" w:history="1">
              <w:r w:rsidRPr="00186F49">
                <w:rPr>
                  <w:rFonts w:ascii="Arial" w:eastAsia="Times New Roman" w:hAnsi="Arial" w:cs="Arial"/>
                  <w:color w:val="0000FF"/>
                  <w:kern w:val="0"/>
                  <w:sz w:val="20"/>
                  <w:u w:val="single"/>
                  <w:lang w:eastAsia="es-ES"/>
                </w:rPr>
                <w:t xml:space="preserve">Reglamentado por el Decreto Nacional 2527 de 2000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2" w:anchor="25" w:history="1">
              <w:r w:rsidRPr="00186F49">
                <w:rPr>
                  <w:rFonts w:ascii="Arial" w:eastAsia="Times New Roman" w:hAnsi="Arial" w:cs="Arial"/>
                  <w:color w:val="0000FF"/>
                  <w:kern w:val="0"/>
                  <w:sz w:val="20"/>
                  <w:u w:val="single"/>
                  <w:lang w:eastAsia="es-ES"/>
                </w:rPr>
                <w:t xml:space="preserve">Adicionado por el art. 21,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3" w:anchor="1"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4" w:anchor="2"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5" w:anchor="17" w:history="1">
              <w:r w:rsidRPr="00186F49">
                <w:rPr>
                  <w:rFonts w:ascii="Arial" w:eastAsia="Times New Roman" w:hAnsi="Arial" w:cs="Arial"/>
                  <w:color w:val="0000FF"/>
                  <w:kern w:val="0"/>
                  <w:sz w:val="20"/>
                  <w:u w:val="single"/>
                  <w:lang w:eastAsia="es-ES"/>
                </w:rPr>
                <w:t xml:space="preserve">Modificado por el art. 9,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6" w:anchor="18" w:history="1">
              <w:r w:rsidRPr="00186F49">
                <w:rPr>
                  <w:rFonts w:ascii="Arial" w:eastAsia="Times New Roman" w:hAnsi="Arial" w:cs="Arial"/>
                  <w:color w:val="0000FF"/>
                  <w:kern w:val="0"/>
                  <w:sz w:val="20"/>
                  <w:u w:val="single"/>
                  <w:lang w:eastAsia="es-ES"/>
                </w:rPr>
                <w:t xml:space="preserve">Modificado por el art. 10,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7" w:anchor="1" w:history="1">
              <w:r w:rsidRPr="00186F49">
                <w:rPr>
                  <w:rFonts w:ascii="Arial" w:eastAsia="Times New Roman" w:hAnsi="Arial" w:cs="Arial"/>
                  <w:color w:val="0000FF"/>
                  <w:kern w:val="0"/>
                  <w:sz w:val="20"/>
                  <w:u w:val="single"/>
                  <w:lang w:eastAsia="es-ES"/>
                </w:rPr>
                <w:t xml:space="preserve">Reglamentado por el Decreto Nacional 2527 de 2000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8" w:anchor="19" w:history="1">
              <w:r w:rsidRPr="00186F49">
                <w:rPr>
                  <w:rFonts w:ascii="Arial" w:eastAsia="Times New Roman" w:hAnsi="Arial" w:cs="Arial"/>
                  <w:color w:val="0000FF"/>
                  <w:kern w:val="0"/>
                  <w:sz w:val="20"/>
                  <w:u w:val="single"/>
                  <w:lang w:eastAsia="es-ES"/>
                </w:rPr>
                <w:t xml:space="preserve">Modificado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299" w:anchor="20" w:history="1">
              <w:r w:rsidRPr="00186F49">
                <w:rPr>
                  <w:rFonts w:ascii="Arial" w:eastAsia="Times New Roman" w:hAnsi="Arial" w:cs="Arial"/>
                  <w:color w:val="0000FF"/>
                  <w:kern w:val="0"/>
                  <w:sz w:val="20"/>
                  <w:u w:val="single"/>
                  <w:lang w:eastAsia="es-ES"/>
                </w:rPr>
                <w:t xml:space="preserve">Modificado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0" w:anchor="21" w:history="1">
              <w:r w:rsidRPr="00186F49">
                <w:rPr>
                  <w:rFonts w:ascii="Arial" w:eastAsia="Times New Roman" w:hAnsi="Arial" w:cs="Arial"/>
                  <w:color w:val="0000FF"/>
                  <w:kern w:val="0"/>
                  <w:sz w:val="20"/>
                  <w:u w:val="single"/>
                  <w:lang w:eastAsia="es-ES"/>
                </w:rPr>
                <w:t xml:space="preserve">Adicionado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1" w:anchor="1"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2" w:anchor="1" w:history="1">
              <w:r w:rsidRPr="00186F49">
                <w:rPr>
                  <w:rFonts w:ascii="Arial" w:eastAsia="Times New Roman" w:hAnsi="Arial" w:cs="Arial"/>
                  <w:color w:val="0000FF"/>
                  <w:kern w:val="0"/>
                  <w:sz w:val="20"/>
                  <w:u w:val="single"/>
                  <w:lang w:eastAsia="es-ES"/>
                </w:rPr>
                <w:t xml:space="preserve">Modificado por el art. 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3" w:anchor="2"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4" w:anchor="3"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5" w:anchor="13" w:history="1">
              <w:r w:rsidRPr="00186F49">
                <w:rPr>
                  <w:rFonts w:ascii="Arial" w:eastAsia="Times New Roman" w:hAnsi="Arial" w:cs="Arial"/>
                  <w:color w:val="0000FF"/>
                  <w:kern w:val="0"/>
                  <w:sz w:val="20"/>
                  <w:u w:val="single"/>
                  <w:lang w:eastAsia="es-ES"/>
                </w:rPr>
                <w:t xml:space="preserve">Modificado por el art. 5,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6" w:anchor="14" w:history="1">
              <w:r w:rsidRPr="00186F49">
                <w:rPr>
                  <w:rFonts w:ascii="Arial" w:eastAsia="Times New Roman" w:hAnsi="Arial" w:cs="Arial"/>
                  <w:color w:val="0000FF"/>
                  <w:kern w:val="0"/>
                  <w:sz w:val="20"/>
                  <w:u w:val="single"/>
                  <w:lang w:eastAsia="es-ES"/>
                </w:rPr>
                <w:t xml:space="preserve">Modificado por el art. 6,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7" w:anchor="15" w:history="1">
              <w:r w:rsidRPr="00186F49">
                <w:rPr>
                  <w:rFonts w:ascii="Arial" w:eastAsia="Times New Roman" w:hAnsi="Arial" w:cs="Arial"/>
                  <w:color w:val="0000FF"/>
                  <w:kern w:val="0"/>
                  <w:sz w:val="20"/>
                  <w:u w:val="single"/>
                  <w:lang w:eastAsia="es-ES"/>
                </w:rPr>
                <w:t xml:space="preserve">Modificado por el art. 7,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8" w:anchor="16" w:history="1">
              <w:r w:rsidRPr="00186F49">
                <w:rPr>
                  <w:rFonts w:ascii="Arial" w:eastAsia="Times New Roman" w:hAnsi="Arial" w:cs="Arial"/>
                  <w:color w:val="0000FF"/>
                  <w:kern w:val="0"/>
                  <w:sz w:val="20"/>
                  <w:u w:val="single"/>
                  <w:lang w:eastAsia="es-ES"/>
                </w:rPr>
                <w:t xml:space="preserve">Modificado por el art. 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09" w:anchor="1" w:history="1">
              <w:r w:rsidRPr="00186F49">
                <w:rPr>
                  <w:rFonts w:ascii="Arial" w:eastAsia="Times New Roman" w:hAnsi="Arial" w:cs="Arial"/>
                  <w:color w:val="0000FF"/>
                  <w:kern w:val="0"/>
                  <w:sz w:val="20"/>
                  <w:u w:val="single"/>
                  <w:lang w:eastAsia="es-ES"/>
                </w:rPr>
                <w:t xml:space="preserve">Derogado Ley 344 de 1996 articulo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0" w:anchor="2" w:history="1">
              <w:r w:rsidRPr="00186F49">
                <w:rPr>
                  <w:rFonts w:ascii="Arial" w:eastAsia="Times New Roman" w:hAnsi="Arial" w:cs="Arial"/>
                  <w:color w:val="0000FF"/>
                  <w:kern w:val="0"/>
                  <w:sz w:val="20"/>
                  <w:u w:val="single"/>
                  <w:lang w:eastAsia="es-ES"/>
                </w:rPr>
                <w:t xml:space="preserve">Derogado Ley 344 de 1996 articulo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1" w:anchor="1" w:history="1">
              <w:r w:rsidRPr="00186F49">
                <w:rPr>
                  <w:rFonts w:ascii="Arial" w:eastAsia="Times New Roman" w:hAnsi="Arial" w:cs="Arial"/>
                  <w:color w:val="0000FF"/>
                  <w:kern w:val="0"/>
                  <w:sz w:val="20"/>
                  <w:u w:val="single"/>
                  <w:lang w:eastAsia="es-ES"/>
                </w:rPr>
                <w:t xml:space="preserve">Reglamentada Parcialmente por el Decreto Nacional 692 de 1994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2" w:anchor="1" w:history="1">
              <w:r w:rsidRPr="00186F49">
                <w:rPr>
                  <w:rFonts w:ascii="Arial" w:eastAsia="Times New Roman" w:hAnsi="Arial" w:cs="Arial"/>
                  <w:color w:val="0000FF"/>
                  <w:kern w:val="0"/>
                  <w:sz w:val="20"/>
                  <w:u w:val="single"/>
                  <w:lang w:eastAsia="es-ES"/>
                </w:rPr>
                <w:t xml:space="preserve">Reglamentada Parcialmente por el Decreto Nacional 2577 de 1999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3" w:anchor="1" w:history="1">
              <w:r w:rsidRPr="00186F49">
                <w:rPr>
                  <w:rFonts w:ascii="Arial" w:eastAsia="Times New Roman" w:hAnsi="Arial" w:cs="Arial"/>
                  <w:color w:val="0000FF"/>
                  <w:kern w:val="0"/>
                  <w:sz w:val="20"/>
                  <w:u w:val="single"/>
                  <w:lang w:eastAsia="es-ES"/>
                </w:rPr>
                <w:t xml:space="preserve">Reglamentada parcialmente por el Decreto Nacional 800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4" w:anchor="3"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5" w:anchor="4"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6" w:anchor="5"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7" w:anchor="6"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8" w:anchor="3" w:history="1">
              <w:r w:rsidRPr="00186F49">
                <w:rPr>
                  <w:rFonts w:ascii="Arial" w:eastAsia="Times New Roman" w:hAnsi="Arial" w:cs="Arial"/>
                  <w:b/>
                  <w:bCs/>
                  <w:color w:val="0000FF"/>
                  <w:kern w:val="0"/>
                  <w:sz w:val="20"/>
                  <w:u w:val="single"/>
                  <w:lang w:eastAsia="es-ES"/>
                </w:rPr>
                <w:t xml:space="preserve">Modificado por la Ley 344 de 1996 artículo 34.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19" w:anchor="4" w:history="1">
              <w:r w:rsidRPr="00186F49">
                <w:rPr>
                  <w:rFonts w:ascii="Arial" w:eastAsia="Times New Roman" w:hAnsi="Arial" w:cs="Arial"/>
                  <w:b/>
                  <w:bCs/>
                  <w:color w:val="0000FF"/>
                  <w:kern w:val="0"/>
                  <w:sz w:val="20"/>
                  <w:u w:val="single"/>
                  <w:lang w:eastAsia="es-ES"/>
                </w:rPr>
                <w:t xml:space="preserve">Derogado el parágrafo 2º, por la Ley 344 de 1996 artículo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0" w:anchor="1" w:history="1">
              <w:r w:rsidRPr="00186F49">
                <w:rPr>
                  <w:rFonts w:ascii="Arial" w:eastAsia="Times New Roman" w:hAnsi="Arial" w:cs="Arial"/>
                  <w:color w:val="0000FF"/>
                  <w:kern w:val="0"/>
                  <w:sz w:val="20"/>
                  <w:u w:val="single"/>
                  <w:lang w:eastAsia="es-ES"/>
                </w:rPr>
                <w:t xml:space="preserve">Reglamentado Parcialmente por el Decreto Nacional 3023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1" w:anchor="1" w:history="1">
              <w:r w:rsidRPr="00186F49">
                <w:rPr>
                  <w:rFonts w:ascii="Arial" w:eastAsia="Times New Roman" w:hAnsi="Arial" w:cs="Arial"/>
                  <w:b/>
                  <w:bCs/>
                  <w:color w:val="0000FF"/>
                  <w:kern w:val="0"/>
                  <w:sz w:val="20"/>
                  <w:u w:val="single"/>
                  <w:lang w:eastAsia="es-ES"/>
                </w:rPr>
                <w:t xml:space="preserve">Derogado el último inciso por la Ley 715 de 2001 artículo 113.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2" w:anchor="1"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3" w:anchor="2" w:history="1">
              <w:r w:rsidRPr="00186F49">
                <w:rPr>
                  <w:rFonts w:ascii="Arial" w:eastAsia="Times New Roman" w:hAnsi="Arial" w:cs="Arial"/>
                  <w:b/>
                  <w:bCs/>
                  <w:color w:val="0000FF"/>
                  <w:kern w:val="0"/>
                  <w:sz w:val="20"/>
                  <w:u w:val="single"/>
                  <w:lang w:eastAsia="es-ES"/>
                </w:rPr>
                <w:t>Declarado Exequible Sentencia Corte Constitucional 130 de 2002</w:t>
              </w:r>
              <w:r w:rsidRPr="00186F49">
                <w:rPr>
                  <w:rFonts w:ascii="Arial" w:eastAsia="Times New Roman" w:hAnsi="Arial" w:cs="Arial"/>
                  <w:color w:val="0000FF"/>
                  <w:kern w:val="0"/>
                  <w:sz w:val="20"/>
                  <w:u w:val="single"/>
                  <w:lang w:eastAsia="es-ES"/>
                </w:rPr>
                <w:t xml:space="preserve">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4" w:anchor="1"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5" w:anchor="2"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6" w:anchor="1" w:history="1">
              <w:r w:rsidRPr="00186F49">
                <w:rPr>
                  <w:rFonts w:ascii="Arial" w:eastAsia="Times New Roman" w:hAnsi="Arial" w:cs="Arial"/>
                  <w:color w:val="0000FF"/>
                  <w:kern w:val="0"/>
                  <w:sz w:val="20"/>
                  <w:u w:val="single"/>
                  <w:lang w:eastAsia="es-ES"/>
                </w:rPr>
                <w:t xml:space="preserve">Derogado por el art. 10, Decreto Nacional 1280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7" w:anchor="3"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8" w:anchor="21"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29" w:anchor="1"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0" w:anchor="28" w:history="1">
              <w:r w:rsidRPr="00186F49">
                <w:rPr>
                  <w:rFonts w:ascii="Arial" w:eastAsia="Times New Roman" w:hAnsi="Arial" w:cs="Arial"/>
                  <w:color w:val="0000FF"/>
                  <w:kern w:val="0"/>
                  <w:sz w:val="20"/>
                  <w:u w:val="single"/>
                  <w:lang w:eastAsia="es-ES"/>
                </w:rPr>
                <w:t xml:space="preserve">Adicionado por el art. 23,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1" w:anchor="2"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2" w:anchor="3"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3" w:anchor="1" w:history="1">
              <w:r w:rsidRPr="00186F49">
                <w:rPr>
                  <w:rFonts w:ascii="Arial" w:eastAsia="Times New Roman" w:hAnsi="Arial" w:cs="Arial"/>
                  <w:color w:val="0000FF"/>
                  <w:kern w:val="0"/>
                  <w:sz w:val="20"/>
                  <w:u w:val="single"/>
                  <w:lang w:eastAsia="es-ES"/>
                </w:rPr>
                <w:t xml:space="preserve">Texto resaltado, declarado Exequible Sentencia Corte Constitucional 529 de 1996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4" w:anchor="14"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5" w:anchor="15"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6" w:anchor="16"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7" w:anchor="17"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8" w:anchor="18"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39" w:anchor="19"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0" w:anchor="20"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1" w:anchor="2" w:history="1">
              <w:r w:rsidRPr="00186F49">
                <w:rPr>
                  <w:rFonts w:ascii="Arial" w:eastAsia="Times New Roman" w:hAnsi="Arial" w:cs="Arial"/>
                  <w:color w:val="0000FF"/>
                  <w:kern w:val="0"/>
                  <w:sz w:val="20"/>
                  <w:u w:val="single"/>
                  <w:lang w:eastAsia="es-ES"/>
                </w:rPr>
                <w:t xml:space="preserve">Reglamentada Parcialmente por el Decreto Nacional 692 de 1994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2" w:anchor="2" w:history="1">
              <w:r w:rsidRPr="00186F49">
                <w:rPr>
                  <w:rFonts w:ascii="Arial" w:eastAsia="Times New Roman" w:hAnsi="Arial" w:cs="Arial"/>
                  <w:color w:val="0000FF"/>
                  <w:kern w:val="0"/>
                  <w:sz w:val="20"/>
                  <w:u w:val="single"/>
                  <w:lang w:eastAsia="es-ES"/>
                </w:rPr>
                <w:t xml:space="preserve">Reglamentada Parcialmente por el Decreto Nacional 2577 de 1999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3" w:anchor="2" w:history="1">
              <w:r w:rsidRPr="00186F49">
                <w:rPr>
                  <w:rFonts w:ascii="Arial" w:eastAsia="Times New Roman" w:hAnsi="Arial" w:cs="Arial"/>
                  <w:color w:val="0000FF"/>
                  <w:kern w:val="0"/>
                  <w:sz w:val="20"/>
                  <w:u w:val="single"/>
                  <w:lang w:eastAsia="es-ES"/>
                </w:rPr>
                <w:t xml:space="preserve">Reglamentada parcialmente por el Decreto Nacional 800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4" w:anchor="29" w:history="1">
              <w:r w:rsidRPr="00186F49">
                <w:rPr>
                  <w:rFonts w:ascii="Arial" w:eastAsia="Times New Roman" w:hAnsi="Arial" w:cs="Arial"/>
                  <w:color w:val="0000FF"/>
                  <w:kern w:val="0"/>
                  <w:sz w:val="20"/>
                  <w:u w:val="single"/>
                  <w:lang w:eastAsia="es-ES"/>
                </w:rPr>
                <w:t xml:space="preserve">Modificado por el art. 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5" w:anchor="30"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6" w:anchor="31"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7" w:anchor="32" w:history="1">
              <w:r w:rsidRPr="00186F49">
                <w:rPr>
                  <w:rFonts w:ascii="Arial" w:eastAsia="Times New Roman" w:hAnsi="Arial" w:cs="Arial"/>
                  <w:color w:val="0000FF"/>
                  <w:kern w:val="0"/>
                  <w:sz w:val="20"/>
                  <w:u w:val="single"/>
                  <w:lang w:eastAsia="es-ES"/>
                </w:rPr>
                <w:t xml:space="preserve">Modificado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8" w:anchor="33"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49" w:anchor="34"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0" w:anchor="35"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1" w:anchor="36"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2" w:anchor="37" w:history="1">
              <w:r w:rsidRPr="00186F49">
                <w:rPr>
                  <w:rFonts w:ascii="Arial" w:eastAsia="Times New Roman" w:hAnsi="Arial" w:cs="Arial"/>
                  <w:color w:val="0000FF"/>
                  <w:kern w:val="0"/>
                  <w:sz w:val="20"/>
                  <w:u w:val="single"/>
                  <w:lang w:eastAsia="es-ES"/>
                </w:rPr>
                <w:t xml:space="preserve">Adicionado por el art. 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3" w:anchor="38" w:history="1">
              <w:r w:rsidRPr="00186F49">
                <w:rPr>
                  <w:rFonts w:ascii="Arial" w:eastAsia="Times New Roman" w:hAnsi="Arial" w:cs="Arial"/>
                  <w:color w:val="0000FF"/>
                  <w:kern w:val="0"/>
                  <w:sz w:val="20"/>
                  <w:u w:val="single"/>
                  <w:lang w:eastAsia="es-ES"/>
                </w:rPr>
                <w:t xml:space="preserve">Modificado por el art. 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4" w:anchor="39" w:history="1">
              <w:r w:rsidRPr="00186F49">
                <w:rPr>
                  <w:rFonts w:ascii="Arial" w:eastAsia="Times New Roman" w:hAnsi="Arial" w:cs="Arial"/>
                  <w:color w:val="0000FF"/>
                  <w:kern w:val="0"/>
                  <w:sz w:val="20"/>
                  <w:u w:val="single"/>
                  <w:lang w:eastAsia="es-ES"/>
                </w:rPr>
                <w:t xml:space="preserve">Modificado por el art. 4,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5" w:anchor="40" w:history="1">
              <w:r w:rsidRPr="00186F49">
                <w:rPr>
                  <w:rFonts w:ascii="Arial" w:eastAsia="Times New Roman" w:hAnsi="Arial" w:cs="Arial"/>
                  <w:color w:val="0000FF"/>
                  <w:kern w:val="0"/>
                  <w:sz w:val="20"/>
                  <w:u w:val="single"/>
                  <w:lang w:eastAsia="es-ES"/>
                </w:rPr>
                <w:t xml:space="preserve">Modificado por el art. 5,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6" w:anchor="41" w:history="1">
              <w:r w:rsidRPr="00186F49">
                <w:rPr>
                  <w:rFonts w:ascii="Arial" w:eastAsia="Times New Roman" w:hAnsi="Arial" w:cs="Arial"/>
                  <w:color w:val="0000FF"/>
                  <w:kern w:val="0"/>
                  <w:sz w:val="20"/>
                  <w:u w:val="single"/>
                  <w:lang w:eastAsia="es-ES"/>
                </w:rPr>
                <w:t xml:space="preserve">Modificado por el art. 5,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7" w:anchor="42" w:history="1">
              <w:r w:rsidRPr="00186F49">
                <w:rPr>
                  <w:rFonts w:ascii="Arial" w:eastAsia="Times New Roman" w:hAnsi="Arial" w:cs="Arial"/>
                  <w:color w:val="0000FF"/>
                  <w:kern w:val="0"/>
                  <w:sz w:val="20"/>
                  <w:u w:val="single"/>
                  <w:lang w:eastAsia="es-ES"/>
                </w:rPr>
                <w:t xml:space="preserve">Modificado por el art. 6,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8" w:anchor="43" w:history="1">
              <w:r w:rsidRPr="00186F49">
                <w:rPr>
                  <w:rFonts w:ascii="Arial" w:eastAsia="Times New Roman" w:hAnsi="Arial" w:cs="Arial"/>
                  <w:color w:val="0000FF"/>
                  <w:kern w:val="0"/>
                  <w:sz w:val="20"/>
                  <w:u w:val="single"/>
                  <w:lang w:eastAsia="es-ES"/>
                </w:rPr>
                <w:t xml:space="preserve">Modificado por el art. 7,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59" w:anchor="44" w:history="1">
              <w:r w:rsidRPr="00186F49">
                <w:rPr>
                  <w:rFonts w:ascii="Arial" w:eastAsia="Times New Roman" w:hAnsi="Arial" w:cs="Arial"/>
                  <w:color w:val="0000FF"/>
                  <w:kern w:val="0"/>
                  <w:sz w:val="20"/>
                  <w:u w:val="single"/>
                  <w:lang w:eastAsia="es-ES"/>
                </w:rPr>
                <w:t xml:space="preserve">Modificado por el art. 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0" w:anchor="6" w:history="1">
              <w:r w:rsidRPr="00186F49">
                <w:rPr>
                  <w:rFonts w:ascii="Arial" w:eastAsia="Times New Roman" w:hAnsi="Arial" w:cs="Arial"/>
                  <w:color w:val="0000FF"/>
                  <w:kern w:val="0"/>
                  <w:sz w:val="20"/>
                  <w:u w:val="single"/>
                  <w:lang w:eastAsia="es-ES"/>
                </w:rPr>
                <w:t xml:space="preserve">Derogado Ley 344 de 1996 articulo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1" w:anchor="7" w:history="1">
              <w:r w:rsidRPr="00186F49">
                <w:rPr>
                  <w:rFonts w:ascii="Arial" w:eastAsia="Times New Roman" w:hAnsi="Arial" w:cs="Arial"/>
                  <w:color w:val="0000FF"/>
                  <w:kern w:val="0"/>
                  <w:sz w:val="20"/>
                  <w:u w:val="single"/>
                  <w:lang w:eastAsia="es-ES"/>
                </w:rPr>
                <w:t xml:space="preserve">Derogado Ley 344 de 1996 articulo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2" w:anchor="45" w:history="1">
              <w:r w:rsidRPr="00186F49">
                <w:rPr>
                  <w:rFonts w:ascii="Arial" w:eastAsia="Times New Roman" w:hAnsi="Arial" w:cs="Arial"/>
                  <w:color w:val="0000FF"/>
                  <w:kern w:val="0"/>
                  <w:sz w:val="20"/>
                  <w:u w:val="single"/>
                  <w:lang w:eastAsia="es-ES"/>
                </w:rPr>
                <w:t xml:space="preserve">Modificado por el art. 9,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3" w:anchor="46" w:history="1">
              <w:r w:rsidRPr="00186F49">
                <w:rPr>
                  <w:rFonts w:ascii="Arial" w:eastAsia="Times New Roman" w:hAnsi="Arial" w:cs="Arial"/>
                  <w:color w:val="0000FF"/>
                  <w:kern w:val="0"/>
                  <w:sz w:val="20"/>
                  <w:u w:val="single"/>
                  <w:lang w:eastAsia="es-ES"/>
                </w:rPr>
                <w:t xml:space="preserve">Modificado por el art. 10,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4" w:anchor="3" w:history="1">
              <w:r w:rsidRPr="00186F49">
                <w:rPr>
                  <w:rFonts w:ascii="Arial" w:eastAsia="Times New Roman" w:hAnsi="Arial" w:cs="Arial"/>
                  <w:color w:val="0000FF"/>
                  <w:kern w:val="0"/>
                  <w:sz w:val="20"/>
                  <w:u w:val="single"/>
                  <w:lang w:eastAsia="es-ES"/>
                </w:rPr>
                <w:t xml:space="preserve">Reglamentado por el Decreto Nacional 2527 de 2000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5" w:anchor="47" w:history="1">
              <w:r w:rsidRPr="00186F49">
                <w:rPr>
                  <w:rFonts w:ascii="Arial" w:eastAsia="Times New Roman" w:hAnsi="Arial" w:cs="Arial"/>
                  <w:color w:val="0000FF"/>
                  <w:kern w:val="0"/>
                  <w:sz w:val="20"/>
                  <w:u w:val="single"/>
                  <w:lang w:eastAsia="es-ES"/>
                </w:rPr>
                <w:t xml:space="preserve">Modificado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6" w:anchor="48" w:history="1">
              <w:r w:rsidRPr="00186F49">
                <w:rPr>
                  <w:rFonts w:ascii="Arial" w:eastAsia="Times New Roman" w:hAnsi="Arial" w:cs="Arial"/>
                  <w:color w:val="0000FF"/>
                  <w:kern w:val="0"/>
                  <w:sz w:val="20"/>
                  <w:u w:val="single"/>
                  <w:lang w:eastAsia="es-ES"/>
                </w:rPr>
                <w:t xml:space="preserve">Modificado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7" w:anchor="49" w:history="1">
              <w:r w:rsidRPr="00186F49">
                <w:rPr>
                  <w:rFonts w:ascii="Arial" w:eastAsia="Times New Roman" w:hAnsi="Arial" w:cs="Arial"/>
                  <w:color w:val="0000FF"/>
                  <w:kern w:val="0"/>
                  <w:sz w:val="20"/>
                  <w:u w:val="single"/>
                  <w:lang w:eastAsia="es-ES"/>
                </w:rPr>
                <w:t xml:space="preserve">Adicionado por el art. 18,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8" w:anchor="4"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69" w:anchor="50" w:history="1">
              <w:r w:rsidRPr="00186F49">
                <w:rPr>
                  <w:rFonts w:ascii="Arial" w:eastAsia="Times New Roman" w:hAnsi="Arial" w:cs="Arial"/>
                  <w:color w:val="0000FF"/>
                  <w:kern w:val="0"/>
                  <w:sz w:val="20"/>
                  <w:u w:val="single"/>
                  <w:lang w:eastAsia="es-ES"/>
                </w:rPr>
                <w:t xml:space="preserve">Modificado por el art. 11,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0" w:anchor="5"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1" w:anchor="51" w:history="1">
              <w:r w:rsidRPr="00186F49">
                <w:rPr>
                  <w:rFonts w:ascii="Arial" w:eastAsia="Times New Roman" w:hAnsi="Arial" w:cs="Arial"/>
                  <w:color w:val="0000FF"/>
                  <w:kern w:val="0"/>
                  <w:sz w:val="20"/>
                  <w:u w:val="single"/>
                  <w:lang w:eastAsia="es-ES"/>
                </w:rPr>
                <w:t xml:space="preserve">Modificado por el art. 12,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2" w:anchor="52" w:history="1">
              <w:r w:rsidRPr="00186F49">
                <w:rPr>
                  <w:rFonts w:ascii="Arial" w:eastAsia="Times New Roman" w:hAnsi="Arial" w:cs="Arial"/>
                  <w:color w:val="0000FF"/>
                  <w:kern w:val="0"/>
                  <w:sz w:val="20"/>
                  <w:u w:val="single"/>
                  <w:lang w:eastAsia="es-ES"/>
                </w:rPr>
                <w:t xml:space="preserve">Modificado por el art. 13,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3" w:anchor="6" w:history="1">
              <w:r w:rsidRPr="00186F49">
                <w:rPr>
                  <w:rFonts w:ascii="Arial" w:eastAsia="Times New Roman" w:hAnsi="Arial" w:cs="Arial"/>
                  <w:color w:val="0000FF"/>
                  <w:kern w:val="0"/>
                  <w:sz w:val="20"/>
                  <w:u w:val="single"/>
                  <w:lang w:eastAsia="es-ES"/>
                </w:rPr>
                <w:t xml:space="preserve">Reglamentado por el Decreto Nacional 1730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4" w:anchor="4" w:history="1">
              <w:r w:rsidRPr="00186F49">
                <w:rPr>
                  <w:rFonts w:ascii="Arial" w:eastAsia="Times New Roman" w:hAnsi="Arial" w:cs="Arial"/>
                  <w:color w:val="0000FF"/>
                  <w:kern w:val="0"/>
                  <w:sz w:val="20"/>
                  <w:u w:val="single"/>
                  <w:lang w:eastAsia="es-ES"/>
                </w:rPr>
                <w:t xml:space="preserve">Reglamentado por el Decreto Nacional 2527 de 2000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5" w:anchor="53" w:history="1">
              <w:r w:rsidRPr="00186F49">
                <w:rPr>
                  <w:rFonts w:ascii="Arial" w:eastAsia="Times New Roman" w:hAnsi="Arial" w:cs="Arial"/>
                  <w:color w:val="0000FF"/>
                  <w:kern w:val="0"/>
                  <w:sz w:val="20"/>
                  <w:u w:val="single"/>
                  <w:lang w:eastAsia="es-ES"/>
                </w:rPr>
                <w:t xml:space="preserve">Adicionado por el art. 21,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6" w:anchor="28"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7" w:anchor="29"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8" w:anchor="30"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79" w:anchor="55" w:history="1">
              <w:r w:rsidRPr="00186F49">
                <w:rPr>
                  <w:rFonts w:ascii="Arial" w:eastAsia="Times New Roman" w:hAnsi="Arial" w:cs="Arial"/>
                  <w:color w:val="0000FF"/>
                  <w:kern w:val="0"/>
                  <w:sz w:val="20"/>
                  <w:u w:val="single"/>
                  <w:lang w:eastAsia="es-ES"/>
                </w:rPr>
                <w:t xml:space="preserve">Modificado por el art. 13,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0" w:anchor="31"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1" w:anchor="32"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2" w:anchor="33"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3" w:anchor="34"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4" w:anchor="35"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5" w:anchor="36"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6" w:anchor="37"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7" w:anchor="38"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8" w:anchor="40"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89" w:anchor="41"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0" w:anchor="39"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1" w:anchor="42"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2" w:anchor="4"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3" w:anchor="56" w:history="1">
              <w:r w:rsidRPr="00186F49">
                <w:rPr>
                  <w:rFonts w:ascii="Arial" w:eastAsia="Times New Roman" w:hAnsi="Arial" w:cs="Arial"/>
                  <w:color w:val="0000FF"/>
                  <w:kern w:val="0"/>
                  <w:sz w:val="20"/>
                  <w:u w:val="single"/>
                  <w:lang w:eastAsia="es-ES"/>
                </w:rPr>
                <w:t xml:space="preserve">Adicionado por el art. 23,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4" w:anchor="5"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5" w:anchor="6" w:history="1">
              <w:r w:rsidRPr="00186F49">
                <w:rPr>
                  <w:rFonts w:ascii="Arial" w:eastAsia="Times New Roman" w:hAnsi="Arial" w:cs="Arial"/>
                  <w:color w:val="0000FF"/>
                  <w:kern w:val="0"/>
                  <w:sz w:val="20"/>
                  <w:u w:val="single"/>
                  <w:lang w:eastAsia="es-ES"/>
                </w:rPr>
                <w:t xml:space="preserve">Reglamentado parcialmente por el Decreto Nacional 13 de 2001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6" w:anchor="2" w:history="1">
              <w:r w:rsidRPr="00186F49">
                <w:rPr>
                  <w:rFonts w:ascii="Arial" w:eastAsia="Times New Roman" w:hAnsi="Arial" w:cs="Arial"/>
                  <w:color w:val="0000FF"/>
                  <w:kern w:val="0"/>
                  <w:sz w:val="20"/>
                  <w:u w:val="single"/>
                  <w:lang w:eastAsia="es-ES"/>
                </w:rPr>
                <w:t xml:space="preserve">Texto resaltado, declarado Exequible Sentencia Corte Constitucional 529 de 1996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7" w:anchor="2" w:history="1">
              <w:r w:rsidRPr="00186F49">
                <w:rPr>
                  <w:rFonts w:ascii="Arial" w:eastAsia="Times New Roman" w:hAnsi="Arial" w:cs="Arial"/>
                  <w:b/>
                  <w:bCs/>
                  <w:color w:val="0000FF"/>
                  <w:kern w:val="0"/>
                  <w:sz w:val="20"/>
                  <w:u w:val="single"/>
                  <w:lang w:eastAsia="es-ES"/>
                </w:rPr>
                <w:t xml:space="preserve">Derogado el último inciso por la Ley 715 de 2001 artículo 113.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8" w:anchor="7"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399" w:anchor="8" w:history="1">
              <w:r w:rsidRPr="00186F49">
                <w:rPr>
                  <w:rFonts w:ascii="Arial" w:eastAsia="Times New Roman" w:hAnsi="Arial" w:cs="Arial"/>
                  <w:b/>
                  <w:bCs/>
                  <w:color w:val="0000FF"/>
                  <w:kern w:val="0"/>
                  <w:sz w:val="20"/>
                  <w:u w:val="single"/>
                  <w:lang w:eastAsia="es-ES"/>
                </w:rPr>
                <w:t>Declarado Exequible Sentencia Corte Constitucional 130 de 2002</w:t>
              </w:r>
              <w:r w:rsidRPr="00186F49">
                <w:rPr>
                  <w:rFonts w:ascii="Arial" w:eastAsia="Times New Roman" w:hAnsi="Arial" w:cs="Arial"/>
                  <w:color w:val="0000FF"/>
                  <w:kern w:val="0"/>
                  <w:sz w:val="20"/>
                  <w:u w:val="single"/>
                  <w:lang w:eastAsia="es-ES"/>
                </w:rPr>
                <w:t xml:space="preserve">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0" w:anchor="5"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1" w:anchor="6"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2" w:anchor="2" w:history="1">
              <w:r w:rsidRPr="00186F49">
                <w:rPr>
                  <w:rFonts w:ascii="Arial" w:eastAsia="Times New Roman" w:hAnsi="Arial" w:cs="Arial"/>
                  <w:color w:val="0000FF"/>
                  <w:kern w:val="0"/>
                  <w:sz w:val="20"/>
                  <w:u w:val="single"/>
                  <w:lang w:eastAsia="es-ES"/>
                </w:rPr>
                <w:t xml:space="preserve">Derogado por el art. 10, Decreto Nacional 1280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3" w:anchor="9"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4" w:anchor="7"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090D76" w:rsidRPr="00186F49" w:rsidRDefault="00186F49" w:rsidP="00186F49">
            <w:pPr>
              <w:spacing w:after="0"/>
              <w:jc w:val="left"/>
              <w:rPr>
                <w:rFonts w:ascii="Arial" w:eastAsia="Times New Roman" w:hAnsi="Arial" w:cs="Arial"/>
                <w:kern w:val="0"/>
                <w:szCs w:val="24"/>
                <w:lang w:eastAsia="es-ES"/>
              </w:rPr>
            </w:pPr>
            <w:hyperlink r:id="rId405" w:anchor="10"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6" w:anchor="11"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7" w:anchor="12" w:history="1">
              <w:r w:rsidRPr="00186F49">
                <w:rPr>
                  <w:rFonts w:ascii="Arial" w:eastAsia="Times New Roman" w:hAnsi="Arial" w:cs="Arial"/>
                  <w:color w:val="0000FF"/>
                  <w:kern w:val="0"/>
                  <w:sz w:val="20"/>
                  <w:u w:val="single"/>
                  <w:lang w:eastAsia="es-ES"/>
                </w:rPr>
                <w:t xml:space="preserve">Declarado Exequible Sentencia Corte Constitucional 130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8" w:anchor="8" w:history="1">
              <w:r w:rsidRPr="00186F49">
                <w:rPr>
                  <w:rFonts w:ascii="Arial" w:eastAsia="Times New Roman" w:hAnsi="Arial" w:cs="Arial"/>
                  <w:b/>
                  <w:bCs/>
                  <w:color w:val="0000FF"/>
                  <w:kern w:val="0"/>
                  <w:sz w:val="20"/>
                  <w:u w:val="single"/>
                  <w:lang w:eastAsia="es-ES"/>
                </w:rPr>
                <w:t xml:space="preserve">Modificado por la Ley 344 de 1996 artículo 34.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09" w:anchor="9" w:history="1">
              <w:r w:rsidRPr="00186F49">
                <w:rPr>
                  <w:rFonts w:ascii="Arial" w:eastAsia="Times New Roman" w:hAnsi="Arial" w:cs="Arial"/>
                  <w:b/>
                  <w:bCs/>
                  <w:color w:val="0000FF"/>
                  <w:kern w:val="0"/>
                  <w:sz w:val="20"/>
                  <w:u w:val="single"/>
                  <w:lang w:eastAsia="es-ES"/>
                </w:rPr>
                <w:t xml:space="preserve">Derogado el parágrafo 2º, por la Ley 344 de 1996 artículo 44.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0" w:anchor="2" w:history="1">
              <w:r w:rsidRPr="00186F49">
                <w:rPr>
                  <w:rFonts w:ascii="Arial" w:eastAsia="Times New Roman" w:hAnsi="Arial" w:cs="Arial"/>
                  <w:color w:val="0000FF"/>
                  <w:kern w:val="0"/>
                  <w:sz w:val="20"/>
                  <w:u w:val="single"/>
                  <w:lang w:eastAsia="es-ES"/>
                </w:rPr>
                <w:t xml:space="preserve">Reglamentado Parcialmente por el Decreto Nacional 3023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1" w:anchor="10" w:history="1">
              <w:r w:rsidRPr="00186F49">
                <w:rPr>
                  <w:rFonts w:ascii="Arial" w:eastAsia="Times New Roman" w:hAnsi="Arial" w:cs="Arial"/>
                  <w:color w:val="0000FF"/>
                  <w:kern w:val="0"/>
                  <w:sz w:val="20"/>
                  <w:u w:val="single"/>
                  <w:lang w:eastAsia="es-ES"/>
                </w:rPr>
                <w:t>La Ley 344 de 1996 artículo 44, deroga el inciso segundo.</w:t>
              </w:r>
              <w:r w:rsidRPr="00186F49">
                <w:rPr>
                  <w:rFonts w:ascii="Arial" w:eastAsia="Times New Roman" w:hAnsi="Arial" w:cs="Arial"/>
                  <w:b/>
                  <w:bCs/>
                  <w:color w:val="0000FF"/>
                  <w:kern w:val="0"/>
                  <w:sz w:val="20"/>
                  <w:u w:val="single"/>
                  <w:lang w:eastAsia="es-ES"/>
                </w:rPr>
                <w:t xml:space="preserve">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2" w:anchor="8" w:history="1">
              <w:r w:rsidRPr="00186F49">
                <w:rPr>
                  <w:rFonts w:ascii="Arial" w:eastAsia="Times New Roman" w:hAnsi="Arial" w:cs="Arial"/>
                  <w:b/>
                  <w:bCs/>
                  <w:color w:val="0000FF"/>
                  <w:kern w:val="0"/>
                  <w:sz w:val="20"/>
                  <w:u w:val="single"/>
                  <w:lang w:eastAsia="es-ES"/>
                </w:rPr>
                <w:t xml:space="preserve">Modificado por el Decreto 2150 de 1995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3" w:anchor="2" w:history="1">
              <w:r w:rsidRPr="00186F49">
                <w:rPr>
                  <w:rFonts w:ascii="Arial" w:eastAsia="Times New Roman" w:hAnsi="Arial" w:cs="Arial"/>
                  <w:color w:val="0000FF"/>
                  <w:kern w:val="0"/>
                  <w:sz w:val="20"/>
                  <w:u w:val="single"/>
                  <w:lang w:eastAsia="es-ES"/>
                </w:rPr>
                <w:t xml:space="preserve">Reglamentado parcialmente por el Decreto Nacional 941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4" w:anchor="22"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5" w:anchor="23" w:history="1">
              <w:r w:rsidRPr="00186F49">
                <w:rPr>
                  <w:rFonts w:ascii="Arial" w:eastAsia="Times New Roman" w:hAnsi="Arial" w:cs="Arial"/>
                  <w:color w:val="0000FF"/>
                  <w:kern w:val="0"/>
                  <w:sz w:val="20"/>
                  <w:u w:val="single"/>
                  <w:lang w:eastAsia="es-ES"/>
                </w:rPr>
                <w:t xml:space="preserve">Subrayado 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6" w:anchor="24"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7" w:anchor="25" w:history="1">
              <w:r w:rsidRPr="00186F49">
                <w:rPr>
                  <w:rFonts w:ascii="Arial" w:eastAsia="Times New Roman" w:hAnsi="Arial" w:cs="Arial"/>
                  <w:color w:val="0000FF"/>
                  <w:kern w:val="0"/>
                  <w:sz w:val="20"/>
                  <w:u w:val="single"/>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8" w:anchor="54" w:history="1">
              <w:r w:rsidRPr="00186F49">
                <w:rPr>
                  <w:rFonts w:ascii="Arial" w:eastAsia="Times New Roman" w:hAnsi="Arial" w:cs="Arial"/>
                  <w:color w:val="0000FF"/>
                  <w:kern w:val="0"/>
                  <w:sz w:val="20"/>
                  <w:u w:val="single"/>
                  <w:lang w:eastAsia="es-ES"/>
                </w:rPr>
                <w:t xml:space="preserve">Modificado por el art. 14, Ley 797 de 2003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hyperlink r:id="rId419" w:anchor="26" w:history="1">
              <w:r w:rsidRPr="00186F49">
                <w:rPr>
                  <w:rStyle w:val="Hipervnculo"/>
                  <w:rFonts w:ascii="Arial" w:eastAsia="Times New Roman" w:hAnsi="Arial" w:cs="Arial"/>
                  <w:kern w:val="0"/>
                  <w:szCs w:val="24"/>
                  <w:lang w:eastAsia="es-ES"/>
                </w:rPr>
                <w:t xml:space="preserve">Declarado Exequible Sentencia Corte Constitucional 86 de 2002 </w:t>
              </w:r>
            </w:hyperlink>
          </w:p>
        </w:tc>
      </w:tr>
      <w:tr w:rsidR="00186F49" w:rsidRPr="00186F49" w:rsidTr="00186F49">
        <w:trPr>
          <w:tblCellSpacing w:w="15" w:type="dxa"/>
        </w:trPr>
        <w:tc>
          <w:tcPr>
            <w:tcW w:w="0" w:type="auto"/>
            <w:vAlign w:val="center"/>
            <w:hideMark/>
          </w:tcPr>
          <w:p w:rsidR="00186F49" w:rsidRPr="00186F49" w:rsidRDefault="00186F49" w:rsidP="00186F49">
            <w:pPr>
              <w:spacing w:after="0"/>
              <w:jc w:val="left"/>
              <w:rPr>
                <w:rFonts w:ascii="Arial" w:eastAsia="Times New Roman" w:hAnsi="Arial" w:cs="Arial"/>
                <w:kern w:val="0"/>
                <w:szCs w:val="24"/>
                <w:lang w:eastAsia="es-ES"/>
              </w:rPr>
            </w:pPr>
          </w:p>
        </w:tc>
        <w:tc>
          <w:tcPr>
            <w:tcW w:w="0" w:type="auto"/>
            <w:vAlign w:val="center"/>
            <w:hideMark/>
          </w:tcPr>
          <w:p w:rsidR="00186F49" w:rsidRDefault="00186F49" w:rsidP="00186F49">
            <w:pPr>
              <w:spacing w:after="0"/>
              <w:jc w:val="left"/>
              <w:rPr>
                <w:rFonts w:ascii="Arial" w:eastAsia="Times New Roman" w:hAnsi="Arial" w:cs="Arial"/>
                <w:kern w:val="0"/>
                <w:szCs w:val="24"/>
                <w:lang w:eastAsia="es-ES"/>
              </w:rPr>
            </w:pPr>
            <w:hyperlink r:id="rId420" w:anchor="27" w:history="1">
              <w:r w:rsidRPr="00186F49">
                <w:rPr>
                  <w:rStyle w:val="Hipervnculo"/>
                  <w:rFonts w:ascii="Arial" w:eastAsia="Times New Roman" w:hAnsi="Arial" w:cs="Arial"/>
                  <w:kern w:val="0"/>
                  <w:szCs w:val="24"/>
                  <w:lang w:eastAsia="es-ES"/>
                </w:rPr>
                <w:t xml:space="preserve">Declarado Exequible Sentencia Corte Constitucional 86 de 2002 </w:t>
              </w:r>
            </w:hyperlink>
          </w:p>
          <w:p w:rsidR="00090D76" w:rsidRPr="00186F49" w:rsidRDefault="00090D76" w:rsidP="00186F49">
            <w:pPr>
              <w:spacing w:after="0"/>
              <w:jc w:val="left"/>
              <w:rPr>
                <w:rFonts w:ascii="Arial" w:eastAsia="Times New Roman" w:hAnsi="Arial" w:cs="Arial"/>
                <w:kern w:val="0"/>
                <w:szCs w:val="24"/>
                <w:lang w:eastAsia="es-ES"/>
              </w:rPr>
            </w:pPr>
            <w:r w:rsidRPr="00090D76">
              <w:rPr>
                <w:rFonts w:ascii="Arial" w:eastAsia="Times New Roman" w:hAnsi="Arial" w:cs="Arial"/>
                <w:kern w:val="0"/>
                <w:szCs w:val="24"/>
                <w:lang w:eastAsia="es-ES"/>
              </w:rPr>
              <w:t>http://www.alcaldiabogota.gov.co/sisjur/normas/Norma1.jsp?i=5248</w:t>
            </w:r>
          </w:p>
        </w:tc>
      </w:tr>
    </w:tbl>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B6E3C"/>
    <w:multiLevelType w:val="multilevel"/>
    <w:tmpl w:val="9C143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40190"/>
    <w:rsid w:val="00033CD0"/>
    <w:rsid w:val="00090D76"/>
    <w:rsid w:val="00186F49"/>
    <w:rsid w:val="00622087"/>
    <w:rsid w:val="00AE571A"/>
    <w:rsid w:val="00D54394"/>
    <w:rsid w:val="00F401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6F49"/>
    <w:rPr>
      <w:color w:val="0000FF"/>
      <w:u w:val="single"/>
    </w:rPr>
  </w:style>
  <w:style w:type="character" w:styleId="Hipervnculovisitado">
    <w:name w:val="FollowedHyperlink"/>
    <w:basedOn w:val="Fuentedeprrafopredeter"/>
    <w:uiPriority w:val="99"/>
    <w:semiHidden/>
    <w:unhideWhenUsed/>
    <w:rsid w:val="00186F49"/>
    <w:rPr>
      <w:color w:val="0000FF"/>
      <w:u w:val="single"/>
    </w:rPr>
  </w:style>
  <w:style w:type="paragraph" w:customStyle="1" w:styleId="vinculo1">
    <w:name w:val="vinculo1"/>
    <w:basedOn w:val="Normal"/>
    <w:rsid w:val="00186F49"/>
    <w:pPr>
      <w:spacing w:before="100" w:beforeAutospacing="1" w:after="100" w:afterAutospacing="1"/>
      <w:jc w:val="left"/>
    </w:pPr>
    <w:rPr>
      <w:rFonts w:ascii="Verdana" w:eastAsia="Times New Roman" w:hAnsi="Verdana" w:cs="Times New Roman"/>
      <w:b/>
      <w:bCs/>
      <w:color w:val="3366CC"/>
      <w:kern w:val="0"/>
      <w:sz w:val="15"/>
      <w:szCs w:val="15"/>
      <w:u w:val="single"/>
      <w:lang w:eastAsia="es-ES"/>
    </w:rPr>
  </w:style>
  <w:style w:type="paragraph" w:customStyle="1" w:styleId="vinculo2">
    <w:name w:val="vinculo2"/>
    <w:basedOn w:val="Normal"/>
    <w:rsid w:val="00186F49"/>
    <w:pPr>
      <w:spacing w:before="100" w:beforeAutospacing="1" w:after="100" w:afterAutospacing="1"/>
      <w:jc w:val="left"/>
    </w:pPr>
    <w:rPr>
      <w:rFonts w:ascii="Verdana" w:eastAsia="Times New Roman" w:hAnsi="Verdana" w:cs="Times New Roman"/>
      <w:b/>
      <w:bCs/>
      <w:color w:val="000000"/>
      <w:kern w:val="0"/>
      <w:sz w:val="13"/>
      <w:szCs w:val="13"/>
      <w:u w:val="single"/>
      <w:lang w:eastAsia="es-ES"/>
    </w:rPr>
  </w:style>
  <w:style w:type="paragraph" w:customStyle="1" w:styleId="textoexplica">
    <w:name w:val="textoexplica"/>
    <w:basedOn w:val="Normal"/>
    <w:rsid w:val="00186F49"/>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textoexplicapeq">
    <w:name w:val="textoexplicapeq"/>
    <w:basedOn w:val="Normal"/>
    <w:rsid w:val="00186F49"/>
    <w:pPr>
      <w:spacing w:before="100" w:beforeAutospacing="1" w:after="100" w:afterAutospacing="1"/>
    </w:pPr>
    <w:rPr>
      <w:rFonts w:ascii="Arial" w:eastAsia="Times New Roman" w:hAnsi="Arial" w:cs="Arial"/>
      <w:kern w:val="0"/>
      <w:sz w:val="13"/>
      <w:szCs w:val="13"/>
      <w:lang w:eastAsia="es-ES"/>
    </w:rPr>
  </w:style>
  <w:style w:type="paragraph" w:customStyle="1" w:styleId="btn">
    <w:name w:val="btn"/>
    <w:basedOn w:val="Normal"/>
    <w:rsid w:val="00186F49"/>
    <w:pPr>
      <w:shd w:val="clear" w:color="auto" w:fill="FF9933"/>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textopequeno">
    <w:name w:val="textopequeno"/>
    <w:basedOn w:val="Normal"/>
    <w:rsid w:val="00186F49"/>
    <w:pPr>
      <w:spacing w:before="100" w:beforeAutospacing="1" w:after="100" w:afterAutospacing="1"/>
      <w:jc w:val="center"/>
    </w:pPr>
    <w:rPr>
      <w:rFonts w:ascii="Arial" w:eastAsia="Times New Roman" w:hAnsi="Arial" w:cs="Arial"/>
      <w:b/>
      <w:bCs/>
      <w:color w:val="3366CC"/>
      <w:kern w:val="0"/>
      <w:sz w:val="15"/>
      <w:szCs w:val="15"/>
      <w:lang w:eastAsia="es-ES"/>
    </w:rPr>
  </w:style>
  <w:style w:type="paragraph" w:customStyle="1" w:styleId="textopequeno2">
    <w:name w:val="textopequeno2"/>
    <w:basedOn w:val="Normal"/>
    <w:rsid w:val="00186F49"/>
    <w:pPr>
      <w:spacing w:before="100" w:beforeAutospacing="1" w:after="100" w:afterAutospacing="1"/>
      <w:jc w:val="left"/>
    </w:pPr>
    <w:rPr>
      <w:rFonts w:ascii="Arial" w:eastAsia="Times New Roman" w:hAnsi="Arial" w:cs="Arial"/>
      <w:b/>
      <w:bCs/>
      <w:color w:val="000000"/>
      <w:kern w:val="0"/>
      <w:sz w:val="15"/>
      <w:szCs w:val="15"/>
      <w:lang w:eastAsia="es-ES"/>
    </w:rPr>
  </w:style>
  <w:style w:type="paragraph" w:customStyle="1" w:styleId="textopequeno3">
    <w:name w:val="textopequeno3"/>
    <w:basedOn w:val="Normal"/>
    <w:rsid w:val="00186F49"/>
    <w:pPr>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textopequeno4">
    <w:name w:val="textopequeno4"/>
    <w:basedOn w:val="Normal"/>
    <w:rsid w:val="00186F49"/>
    <w:pPr>
      <w:spacing w:before="100" w:beforeAutospacing="1" w:after="100" w:afterAutospacing="1"/>
      <w:jc w:val="center"/>
    </w:pPr>
    <w:rPr>
      <w:rFonts w:ascii="Arial" w:eastAsia="Times New Roman" w:hAnsi="Arial" w:cs="Arial"/>
      <w:b/>
      <w:bCs/>
      <w:color w:val="000000"/>
      <w:kern w:val="0"/>
      <w:sz w:val="13"/>
      <w:szCs w:val="13"/>
      <w:lang w:eastAsia="es-ES"/>
    </w:rPr>
  </w:style>
  <w:style w:type="paragraph" w:customStyle="1" w:styleId="textomedio">
    <w:name w:val="textomedio"/>
    <w:basedOn w:val="Normal"/>
    <w:rsid w:val="00186F49"/>
    <w:pPr>
      <w:spacing w:before="100" w:beforeAutospacing="1" w:after="100" w:afterAutospacing="1"/>
      <w:jc w:val="center"/>
    </w:pPr>
    <w:rPr>
      <w:rFonts w:ascii="Arial" w:eastAsia="Times New Roman" w:hAnsi="Arial" w:cs="Arial"/>
      <w:b/>
      <w:bCs/>
      <w:color w:val="000000"/>
      <w:kern w:val="0"/>
      <w:sz w:val="18"/>
      <w:szCs w:val="18"/>
      <w:lang w:eastAsia="es-ES"/>
    </w:rPr>
  </w:style>
  <w:style w:type="paragraph" w:customStyle="1" w:styleId="btn1">
    <w:name w:val="btn1"/>
    <w:basedOn w:val="Normal"/>
    <w:rsid w:val="00186F49"/>
    <w:pPr>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fondo">
    <w:name w:val="fondo"/>
    <w:basedOn w:val="Normal"/>
    <w:rsid w:val="00186F49"/>
    <w:pPr>
      <w:spacing w:before="100" w:beforeAutospacing="1" w:after="100" w:afterAutospacing="1"/>
      <w:jc w:val="left"/>
    </w:pPr>
    <w:rPr>
      <w:rFonts w:eastAsia="Times New Roman" w:cs="Times New Roman"/>
      <w:kern w:val="0"/>
      <w:szCs w:val="24"/>
      <w:lang w:eastAsia="es-ES"/>
    </w:rPr>
  </w:style>
  <w:style w:type="paragraph" w:customStyle="1" w:styleId="azul">
    <w:name w:val="azul"/>
    <w:basedOn w:val="Normal"/>
    <w:rsid w:val="00186F49"/>
    <w:pPr>
      <w:shd w:val="clear" w:color="auto" w:fill="9B806A"/>
      <w:spacing w:before="100" w:beforeAutospacing="1" w:after="100" w:afterAutospacing="1"/>
      <w:jc w:val="left"/>
    </w:pPr>
    <w:rPr>
      <w:rFonts w:ascii="Arial" w:eastAsia="Times New Roman" w:hAnsi="Arial" w:cs="Arial"/>
      <w:b/>
      <w:bCs/>
      <w:color w:val="FFFFFF"/>
      <w:kern w:val="0"/>
      <w:sz w:val="18"/>
      <w:szCs w:val="18"/>
      <w:lang w:eastAsia="es-ES"/>
    </w:rPr>
  </w:style>
  <w:style w:type="paragraph" w:customStyle="1" w:styleId="gris">
    <w:name w:val="gris"/>
    <w:basedOn w:val="Normal"/>
    <w:rsid w:val="00186F49"/>
    <w:pPr>
      <w:shd w:val="clear" w:color="auto" w:fill="CCCCCC"/>
      <w:spacing w:before="100" w:beforeAutospacing="1" w:after="100" w:afterAutospacing="1"/>
      <w:jc w:val="left"/>
    </w:pPr>
    <w:rPr>
      <w:rFonts w:eastAsia="Times New Roman" w:cs="Times New Roman"/>
      <w:kern w:val="0"/>
      <w:szCs w:val="24"/>
      <w:lang w:eastAsia="es-ES"/>
    </w:rPr>
  </w:style>
  <w:style w:type="paragraph" w:customStyle="1" w:styleId="orawizbannercolor">
    <w:name w:val="orawizbannercolor"/>
    <w:basedOn w:val="Normal"/>
    <w:rsid w:val="00186F49"/>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wizbannerlogo">
    <w:name w:val="orawizbannerlogo"/>
    <w:basedOn w:val="Normal"/>
    <w:rsid w:val="00186F49"/>
    <w:pPr>
      <w:spacing w:before="100" w:beforeAutospacing="1" w:after="100" w:afterAutospacing="1"/>
      <w:jc w:val="left"/>
    </w:pPr>
    <w:rPr>
      <w:rFonts w:eastAsia="Times New Roman" w:cs="Times New Roman"/>
      <w:kern w:val="0"/>
      <w:szCs w:val="24"/>
      <w:lang w:eastAsia="es-ES"/>
    </w:rPr>
  </w:style>
  <w:style w:type="paragraph" w:customStyle="1" w:styleId="orawizbannertitle">
    <w:name w:val="orawizbannertitle"/>
    <w:basedOn w:val="Normal"/>
    <w:rsid w:val="00186F49"/>
    <w:pPr>
      <w:spacing w:before="100" w:beforeAutospacing="1" w:after="100" w:afterAutospacing="1"/>
      <w:jc w:val="left"/>
    </w:pPr>
    <w:rPr>
      <w:rFonts w:ascii="Arial" w:eastAsia="Times New Roman" w:hAnsi="Arial" w:cs="Arial"/>
      <w:b/>
      <w:bCs/>
      <w:color w:val="FFFFFF"/>
      <w:kern w:val="0"/>
      <w:sz w:val="32"/>
      <w:szCs w:val="32"/>
      <w:lang w:eastAsia="es-ES"/>
    </w:rPr>
  </w:style>
  <w:style w:type="paragraph" w:customStyle="1" w:styleId="orawizbannerlink">
    <w:name w:val="orawizbannerlink"/>
    <w:basedOn w:val="Normal"/>
    <w:rsid w:val="00186F49"/>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wizpagecolor">
    <w:name w:val="orawizpagecolor"/>
    <w:basedOn w:val="Normal"/>
    <w:rsid w:val="00186F49"/>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bgcolordark">
    <w:name w:val="orabgcolordark"/>
    <w:basedOn w:val="Normal"/>
    <w:rsid w:val="00186F49"/>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globalpagetitle">
    <w:name w:val="oraglobalpagetitle"/>
    <w:basedOn w:val="Normal"/>
    <w:rsid w:val="00186F49"/>
    <w:pPr>
      <w:spacing w:before="100" w:beforeAutospacing="1" w:after="100" w:afterAutospacing="1"/>
      <w:jc w:val="left"/>
    </w:pPr>
    <w:rPr>
      <w:rFonts w:ascii="Arial" w:eastAsia="Times New Roman" w:hAnsi="Arial" w:cs="Arial"/>
      <w:b/>
      <w:bCs/>
      <w:color w:val="FFFFFF"/>
      <w:kern w:val="0"/>
      <w:sz w:val="22"/>
      <w:lang w:eastAsia="es-ES"/>
    </w:rPr>
  </w:style>
  <w:style w:type="paragraph" w:customStyle="1" w:styleId="orabgcolordark1">
    <w:name w:val="orabgcolordark1"/>
    <w:basedOn w:val="Normal"/>
    <w:rsid w:val="00186F49"/>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nav1selected">
    <w:name w:val="oranav1selected"/>
    <w:basedOn w:val="Normal"/>
    <w:rsid w:val="00186F49"/>
    <w:pPr>
      <w:spacing w:before="100" w:beforeAutospacing="1" w:after="100" w:afterAutospacing="1"/>
      <w:jc w:val="left"/>
    </w:pPr>
    <w:rPr>
      <w:rFonts w:ascii="Arial" w:eastAsia="Times New Roman" w:hAnsi="Arial" w:cs="Arial"/>
      <w:b/>
      <w:bCs/>
      <w:color w:val="99CCFF"/>
      <w:kern w:val="0"/>
      <w:sz w:val="22"/>
      <w:lang w:eastAsia="es-ES"/>
    </w:rPr>
  </w:style>
  <w:style w:type="paragraph" w:customStyle="1" w:styleId="orabgaccentdark">
    <w:name w:val="orabgaccentdark"/>
    <w:basedOn w:val="Normal"/>
    <w:rsid w:val="00186F49"/>
    <w:pPr>
      <w:shd w:val="clear" w:color="auto" w:fill="CCCC99"/>
      <w:spacing w:before="100" w:beforeAutospacing="1" w:after="100" w:afterAutospacing="1"/>
      <w:jc w:val="left"/>
    </w:pPr>
    <w:rPr>
      <w:rFonts w:eastAsia="Times New Roman" w:cs="Times New Roman"/>
      <w:kern w:val="0"/>
      <w:szCs w:val="24"/>
      <w:lang w:eastAsia="es-ES"/>
    </w:rPr>
  </w:style>
  <w:style w:type="paragraph" w:customStyle="1" w:styleId="oranav1enabled">
    <w:name w:val="oranav1enabled"/>
    <w:basedOn w:val="Normal"/>
    <w:rsid w:val="00186F49"/>
    <w:pPr>
      <w:spacing w:before="100" w:beforeAutospacing="1" w:after="100" w:afterAutospacing="1"/>
      <w:jc w:val="left"/>
    </w:pPr>
    <w:rPr>
      <w:rFonts w:ascii="Arial" w:eastAsia="Times New Roman" w:hAnsi="Arial" w:cs="Arial"/>
      <w:color w:val="003366"/>
      <w:kern w:val="0"/>
      <w:sz w:val="22"/>
      <w:lang w:eastAsia="es-ES"/>
    </w:rPr>
  </w:style>
  <w:style w:type="paragraph" w:customStyle="1" w:styleId="oraheadersub">
    <w:name w:val="oraheadersub"/>
    <w:basedOn w:val="Normal"/>
    <w:rsid w:val="00186F49"/>
    <w:pPr>
      <w:spacing w:before="100" w:beforeAutospacing="1" w:after="100" w:afterAutospacing="1"/>
      <w:jc w:val="left"/>
    </w:pPr>
    <w:rPr>
      <w:rFonts w:ascii="Arial" w:eastAsia="Times New Roman" w:hAnsi="Arial" w:cs="Arial"/>
      <w:color w:val="336699"/>
      <w:kern w:val="0"/>
      <w:sz w:val="32"/>
      <w:szCs w:val="32"/>
      <w:lang w:eastAsia="es-ES"/>
    </w:rPr>
  </w:style>
  <w:style w:type="paragraph" w:customStyle="1" w:styleId="oraheadersubsub">
    <w:name w:val="oraheadersubsub"/>
    <w:basedOn w:val="Normal"/>
    <w:rsid w:val="00186F49"/>
    <w:pPr>
      <w:spacing w:before="100" w:beforeAutospacing="1" w:after="100" w:afterAutospacing="1"/>
      <w:jc w:val="left"/>
    </w:pPr>
    <w:rPr>
      <w:rFonts w:ascii="Arial" w:eastAsia="Times New Roman" w:hAnsi="Arial" w:cs="Arial"/>
      <w:b/>
      <w:bCs/>
      <w:color w:val="336699"/>
      <w:kern w:val="0"/>
      <w:sz w:val="22"/>
      <w:lang w:eastAsia="es-ES"/>
    </w:rPr>
  </w:style>
  <w:style w:type="paragraph" w:customStyle="1" w:styleId="orainstructiontext">
    <w:name w:val="orainstructiontext"/>
    <w:basedOn w:val="Normal"/>
    <w:rsid w:val="00186F49"/>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
    <w:name w:val="orainlineinfo"/>
    <w:basedOn w:val="Normal"/>
    <w:rsid w:val="00186F49"/>
    <w:pPr>
      <w:spacing w:before="100" w:beforeAutospacing="1" w:after="100" w:afterAutospacing="1"/>
      <w:jc w:val="left"/>
    </w:pPr>
    <w:rPr>
      <w:rFonts w:ascii="Arial" w:eastAsia="Times New Roman" w:hAnsi="Arial" w:cs="Arial"/>
      <w:color w:val="336699"/>
      <w:kern w:val="0"/>
      <w:sz w:val="16"/>
      <w:szCs w:val="16"/>
      <w:lang w:eastAsia="es-ES"/>
    </w:rPr>
  </w:style>
  <w:style w:type="paragraph" w:customStyle="1" w:styleId="orafieldtext">
    <w:name w:val="orafieldtext"/>
    <w:basedOn w:val="Normal"/>
    <w:rsid w:val="00186F49"/>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2">
    <w:name w:val="orainlineinfo2"/>
    <w:basedOn w:val="Normal"/>
    <w:rsid w:val="00186F49"/>
    <w:pPr>
      <w:spacing w:before="100" w:beforeAutospacing="1" w:after="100" w:afterAutospacing="1"/>
      <w:jc w:val="left"/>
    </w:pPr>
    <w:rPr>
      <w:rFonts w:ascii="Arial" w:eastAsia="Times New Roman" w:hAnsi="Arial" w:cs="Arial"/>
      <w:b/>
      <w:bCs/>
      <w:color w:val="336699"/>
      <w:kern w:val="0"/>
      <w:sz w:val="16"/>
      <w:szCs w:val="16"/>
      <w:lang w:eastAsia="es-ES"/>
    </w:rPr>
  </w:style>
  <w:style w:type="paragraph" w:customStyle="1" w:styleId="oracopyright">
    <w:name w:val="oracopyright"/>
    <w:basedOn w:val="Normal"/>
    <w:rsid w:val="00186F49"/>
    <w:pPr>
      <w:spacing w:before="100" w:beforeAutospacing="1" w:after="100" w:afterAutospacing="1"/>
      <w:jc w:val="left"/>
    </w:pPr>
    <w:rPr>
      <w:rFonts w:ascii="Arial" w:eastAsia="Times New Roman" w:hAnsi="Arial" w:cs="Arial"/>
      <w:color w:val="000000"/>
      <w:kern w:val="0"/>
      <w:sz w:val="16"/>
      <w:szCs w:val="16"/>
      <w:lang w:eastAsia="es-ES"/>
    </w:rPr>
  </w:style>
  <w:style w:type="paragraph" w:customStyle="1" w:styleId="oraprivacy">
    <w:name w:val="oraprivacy"/>
    <w:basedOn w:val="Normal"/>
    <w:rsid w:val="00186F49"/>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errorheader">
    <w:name w:val="oraerrorheader"/>
    <w:basedOn w:val="Normal"/>
    <w:rsid w:val="00186F49"/>
    <w:pPr>
      <w:spacing w:before="100" w:beforeAutospacing="1" w:after="100" w:afterAutospacing="1"/>
      <w:jc w:val="left"/>
    </w:pPr>
    <w:rPr>
      <w:rFonts w:ascii="Arial" w:eastAsia="Times New Roman" w:hAnsi="Arial" w:cs="Arial"/>
      <w:b/>
      <w:bCs/>
      <w:color w:val="CC0000"/>
      <w:kern w:val="0"/>
      <w:sz w:val="22"/>
      <w:lang w:eastAsia="es-ES"/>
    </w:rPr>
  </w:style>
  <w:style w:type="paragraph" w:customStyle="1" w:styleId="oraerrortext">
    <w:name w:val="oraerrortext"/>
    <w:basedOn w:val="Normal"/>
    <w:rsid w:val="00186F49"/>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vinculolegislacion">
    <w:name w:val="vinculolegislacion"/>
    <w:basedOn w:val="Normal"/>
    <w:rsid w:val="00186F49"/>
    <w:pPr>
      <w:spacing w:before="100" w:beforeAutospacing="1" w:after="100" w:afterAutospacing="1"/>
      <w:jc w:val="left"/>
    </w:pPr>
    <w:rPr>
      <w:rFonts w:ascii="Arial" w:eastAsia="Times New Roman" w:hAnsi="Arial" w:cs="Arial"/>
      <w:b/>
      <w:bCs/>
      <w:color w:val="0066FF"/>
      <w:kern w:val="0"/>
      <w:sz w:val="13"/>
      <w:szCs w:val="13"/>
      <w:lang w:eastAsia="es-ES"/>
    </w:rPr>
  </w:style>
  <w:style w:type="paragraph" w:styleId="NormalWeb">
    <w:name w:val="Normal (Web)"/>
    <w:basedOn w:val="Normal"/>
    <w:uiPriority w:val="99"/>
    <w:semiHidden/>
    <w:unhideWhenUsed/>
    <w:rsid w:val="00186F49"/>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186F49"/>
    <w:rPr>
      <w:b/>
      <w:bCs/>
    </w:rPr>
  </w:style>
  <w:style w:type="paragraph" w:styleId="z-Principiodelformulario">
    <w:name w:val="HTML Top of Form"/>
    <w:basedOn w:val="Normal"/>
    <w:next w:val="Normal"/>
    <w:link w:val="z-PrincipiodelformularioCar"/>
    <w:hidden/>
    <w:uiPriority w:val="99"/>
    <w:semiHidden/>
    <w:unhideWhenUsed/>
    <w:rsid w:val="00186F49"/>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6F49"/>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186F49"/>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186F49"/>
    <w:rPr>
      <w:rFonts w:ascii="Arial" w:eastAsia="Times New Roman" w:hAnsi="Arial" w:cs="Arial"/>
      <w:vanish/>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65155688">
      <w:bodyDiv w:val="1"/>
      <w:marLeft w:val="0"/>
      <w:marRight w:val="0"/>
      <w:marTop w:val="0"/>
      <w:marBottom w:val="0"/>
      <w:divBdr>
        <w:top w:val="none" w:sz="0" w:space="0" w:color="auto"/>
        <w:left w:val="none" w:sz="0" w:space="0" w:color="auto"/>
        <w:bottom w:val="none" w:sz="0" w:space="0" w:color="auto"/>
        <w:right w:val="none" w:sz="0" w:space="0" w:color="auto"/>
      </w:divBdr>
      <w:divsChild>
        <w:div w:id="10498665">
          <w:marLeft w:val="0"/>
          <w:marRight w:val="0"/>
          <w:marTop w:val="0"/>
          <w:marBottom w:val="0"/>
          <w:divBdr>
            <w:top w:val="none" w:sz="0" w:space="0" w:color="auto"/>
            <w:left w:val="none" w:sz="0" w:space="0" w:color="auto"/>
            <w:bottom w:val="none" w:sz="0" w:space="0" w:color="auto"/>
            <w:right w:val="none" w:sz="0" w:space="0" w:color="auto"/>
          </w:divBdr>
          <w:divsChild>
            <w:div w:id="4348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1289">
      <w:bodyDiv w:val="1"/>
      <w:marLeft w:val="0"/>
      <w:marRight w:val="0"/>
      <w:marTop w:val="0"/>
      <w:marBottom w:val="0"/>
      <w:divBdr>
        <w:top w:val="none" w:sz="0" w:space="0" w:color="auto"/>
        <w:left w:val="none" w:sz="0" w:space="0" w:color="auto"/>
        <w:bottom w:val="none" w:sz="0" w:space="0" w:color="auto"/>
        <w:right w:val="none" w:sz="0" w:space="0" w:color="auto"/>
      </w:divBdr>
      <w:divsChild>
        <w:div w:id="2108382763">
          <w:marLeft w:val="0"/>
          <w:marRight w:val="0"/>
          <w:marTop w:val="0"/>
          <w:marBottom w:val="0"/>
          <w:divBdr>
            <w:top w:val="none" w:sz="0" w:space="0" w:color="auto"/>
            <w:left w:val="none" w:sz="0" w:space="0" w:color="auto"/>
            <w:bottom w:val="none" w:sz="0" w:space="0" w:color="auto"/>
            <w:right w:val="none" w:sz="0" w:space="0" w:color="auto"/>
          </w:divBdr>
          <w:divsChild>
            <w:div w:id="1883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lcaldiabogota.gov.co/sisjur/normas/Norma1.jsp?i=6239" TargetMode="External"/><Relationship Id="rId299" Type="http://schemas.openxmlformats.org/officeDocument/2006/relationships/hyperlink" Target="http://www.alcaldiabogota.gov.co/sisjur/normas/Norma1.jsp?i=7223&amp;iu=0" TargetMode="External"/><Relationship Id="rId21" Type="http://schemas.openxmlformats.org/officeDocument/2006/relationships/hyperlink" Target="http://www.alcaldiabogota.gov.co/sisjur/normas/Norma1.jsp?i=7223" TargetMode="External"/><Relationship Id="rId63" Type="http://schemas.openxmlformats.org/officeDocument/2006/relationships/hyperlink" Target="http://www.alcaldiabogota.gov.co/sisjur/normas/Norma1.jsp?i=5325" TargetMode="External"/><Relationship Id="rId159" Type="http://schemas.openxmlformats.org/officeDocument/2006/relationships/hyperlink" Target="http://www.alcaldiabogota.gov.co/sisjur/normas/Norma1.jsp?i=16734" TargetMode="External"/><Relationship Id="rId324" Type="http://schemas.openxmlformats.org/officeDocument/2006/relationships/hyperlink" Target="http://www.alcaldiabogota.gov.co/sisjur/normas/Norma1.jsp?i=1208&amp;iu=0" TargetMode="External"/><Relationship Id="rId366" Type="http://schemas.openxmlformats.org/officeDocument/2006/relationships/hyperlink" Target="http://www.alcaldiabogota.gov.co/sisjur/normas/Norma1.jsp?i=7223&amp;iu=0" TargetMode="External"/><Relationship Id="rId170" Type="http://schemas.openxmlformats.org/officeDocument/2006/relationships/hyperlink" Target="http://www.alcaldiabogota.gov.co/sisjur/normas/Norma1.jsp?i=5540" TargetMode="External"/><Relationship Id="rId226" Type="http://schemas.openxmlformats.org/officeDocument/2006/relationships/hyperlink" Target="http://www.alcaldiabogota.gov.co/sisjur/normas/Norma1.jsp?i=345" TargetMode="External"/><Relationship Id="rId268" Type="http://schemas.openxmlformats.org/officeDocument/2006/relationships/hyperlink" Target="http://www.alcaldiabogota.gov.co/sisjur/normas/Norma1.jsp?i=7223&amp;iu=0" TargetMode="External"/><Relationship Id="rId32" Type="http://schemas.openxmlformats.org/officeDocument/2006/relationships/hyperlink" Target="http://www.alcaldiabogota.gov.co/sisjur/normas/Norma1.jsp?i=7223" TargetMode="External"/><Relationship Id="rId74" Type="http://schemas.openxmlformats.org/officeDocument/2006/relationships/hyperlink" Target="http://www.alcaldiabogota.gov.co/sisjur/normas/Norma1.jsp?i=17004" TargetMode="External"/><Relationship Id="rId128" Type="http://schemas.openxmlformats.org/officeDocument/2006/relationships/hyperlink" Target="http://www.alcaldiabogota.gov.co/sisjur/normas/Norma1.jsp?i=31246" TargetMode="External"/><Relationship Id="rId335" Type="http://schemas.openxmlformats.org/officeDocument/2006/relationships/hyperlink" Target="http://www.alcaldiabogota.gov.co/sisjur/normas/Norma1.jsp?i=6239&amp;iu=0" TargetMode="External"/><Relationship Id="rId377" Type="http://schemas.openxmlformats.org/officeDocument/2006/relationships/hyperlink" Target="http://www.alcaldiabogota.gov.co/sisjur/normas/Norma1.jsp?i=6239&amp;iu=0" TargetMode="External"/><Relationship Id="rId5" Type="http://schemas.openxmlformats.org/officeDocument/2006/relationships/hyperlink" Target="http://www.alcaldiabogota.gov.co/sisjur/normas/Norma1.jsp?i=6779" TargetMode="External"/><Relationship Id="rId181" Type="http://schemas.openxmlformats.org/officeDocument/2006/relationships/hyperlink" Target="http://www.alcaldiabogota.gov.co/sisjur/normas/Norma1.jsp?i=28476" TargetMode="External"/><Relationship Id="rId237" Type="http://schemas.openxmlformats.org/officeDocument/2006/relationships/hyperlink" Target="http://www.alcaldiabogota.gov.co/sisjur/normas/Norma1.jsp?i=18350" TargetMode="External"/><Relationship Id="rId402" Type="http://schemas.openxmlformats.org/officeDocument/2006/relationships/hyperlink" Target="http://www.alcaldiabogota.gov.co/sisjur/normas/Norma1.jsp?i=5355&amp;iu=0" TargetMode="External"/><Relationship Id="rId279" Type="http://schemas.openxmlformats.org/officeDocument/2006/relationships/hyperlink" Target="http://www.alcaldiabogota.gov.co/sisjur/normas/Norma1.jsp?i=6239&amp;iu=0" TargetMode="External"/><Relationship Id="rId22" Type="http://schemas.openxmlformats.org/officeDocument/2006/relationships/hyperlink" Target="http://www.alcaldiabogota.gov.co/sisjur/normas/Norma1.jsp?i=10476" TargetMode="External"/><Relationship Id="rId43" Type="http://schemas.openxmlformats.org/officeDocument/2006/relationships/hyperlink" Target="http://www.alcaldiabogota.gov.co/sisjur/normas/Norma1.jsp?i=33960" TargetMode="External"/><Relationship Id="rId64" Type="http://schemas.openxmlformats.org/officeDocument/2006/relationships/hyperlink" Target="http://www.alcaldiabogota.gov.co/sisjur/normas/Norma1.jsp?i=11657" TargetMode="External"/><Relationship Id="rId118" Type="http://schemas.openxmlformats.org/officeDocument/2006/relationships/hyperlink" Target="http://www.alcaldiabogota.gov.co/sisjur/normas/Norma1.jsp?i=6239" TargetMode="External"/><Relationship Id="rId139" Type="http://schemas.openxmlformats.org/officeDocument/2006/relationships/hyperlink" Target="http://www.alcaldiabogota.gov.co/sisjur/normas/Norma1.jsp?i=36841" TargetMode="External"/><Relationship Id="rId290" Type="http://schemas.openxmlformats.org/officeDocument/2006/relationships/hyperlink" Target="http://www.alcaldiabogota.gov.co/sisjur/normas/Norma1.jsp?i=6186&amp;iu=0" TargetMode="External"/><Relationship Id="rId304" Type="http://schemas.openxmlformats.org/officeDocument/2006/relationships/hyperlink" Target="http://www.alcaldiabogota.gov.co/sisjur/normas/Norma1.jsp?i=7223&amp;iu=0" TargetMode="External"/><Relationship Id="rId325" Type="http://schemas.openxmlformats.org/officeDocument/2006/relationships/hyperlink" Target="http://www.alcaldiabogota.gov.co/sisjur/normas/Norma1.jsp?i=1208&amp;iu=0" TargetMode="External"/><Relationship Id="rId346" Type="http://schemas.openxmlformats.org/officeDocument/2006/relationships/hyperlink" Target="http://www.alcaldiabogota.gov.co/sisjur/normas/Norma1.jsp?i=7223&amp;iu=0" TargetMode="External"/><Relationship Id="rId367" Type="http://schemas.openxmlformats.org/officeDocument/2006/relationships/hyperlink" Target="http://www.alcaldiabogota.gov.co/sisjur/normas/Norma1.jsp?i=7223&amp;iu=0" TargetMode="External"/><Relationship Id="rId388" Type="http://schemas.openxmlformats.org/officeDocument/2006/relationships/hyperlink" Target="http://www.alcaldiabogota.gov.co/sisjur/normas/Norma1.jsp?i=6239&amp;iu=0" TargetMode="External"/><Relationship Id="rId85" Type="http://schemas.openxmlformats.org/officeDocument/2006/relationships/hyperlink" Target="http://www.alcaldiabogota.gov.co/sisjur/normas/Norma1.jsp?i=18840" TargetMode="External"/><Relationship Id="rId150" Type="http://schemas.openxmlformats.org/officeDocument/2006/relationships/hyperlink" Target="http://www.alcaldiabogota.gov.co/sisjur/normas/Norma1.jsp?i=13200" TargetMode="External"/><Relationship Id="rId171" Type="http://schemas.openxmlformats.org/officeDocument/2006/relationships/hyperlink" Target="http://www.alcaldiabogota.gov.co/sisjur/normas/Norma1.jsp?i=14263" TargetMode="External"/><Relationship Id="rId192" Type="http://schemas.openxmlformats.org/officeDocument/2006/relationships/hyperlink" Target="http://www.alcaldiabogota.gov.co/sisjur/normas/Norma1.jsp?i=38668" TargetMode="External"/><Relationship Id="rId206" Type="http://schemas.openxmlformats.org/officeDocument/2006/relationships/hyperlink" Target="http://www.alcaldiabogota.gov.co/sisjur/normas/Norma1.jsp?i=3356" TargetMode="External"/><Relationship Id="rId227" Type="http://schemas.openxmlformats.org/officeDocument/2006/relationships/hyperlink" Target="http://www.alcaldiabogota.gov.co/sisjur/normas/Norma1.jsp?i=6437" TargetMode="External"/><Relationship Id="rId413" Type="http://schemas.openxmlformats.org/officeDocument/2006/relationships/hyperlink" Target="http://www.alcaldiabogota.gov.co/sisjur/normas/Norma1.jsp?i=5357&amp;iu=0" TargetMode="External"/><Relationship Id="rId248" Type="http://schemas.openxmlformats.org/officeDocument/2006/relationships/hyperlink" Target="http://www.alcaldiabogota.gov.co/sisjur/normas/Norma1.jsp?i=307" TargetMode="External"/><Relationship Id="rId269" Type="http://schemas.openxmlformats.org/officeDocument/2006/relationships/hyperlink" Target="http://www.alcaldiabogota.gov.co/sisjur/normas/Norma1.jsp?i=7223&amp;iu=0" TargetMode="External"/><Relationship Id="rId12" Type="http://schemas.openxmlformats.org/officeDocument/2006/relationships/hyperlink" Target="http://www.alcaldiabogota.gov.co/sisjur/normas/Norma1.jsp?i=38664" TargetMode="External"/><Relationship Id="rId33" Type="http://schemas.openxmlformats.org/officeDocument/2006/relationships/hyperlink" Target="http://www.alcaldiabogota.gov.co/sisjur/normas/Norma1.jsp?i=7223" TargetMode="External"/><Relationship Id="rId108" Type="http://schemas.openxmlformats.org/officeDocument/2006/relationships/hyperlink" Target="http://www.alcaldiabogota.gov.co/sisjur/normas/Norma1.jsp?i=18840" TargetMode="External"/><Relationship Id="rId129" Type="http://schemas.openxmlformats.org/officeDocument/2006/relationships/hyperlink" Target="http://www.alcaldiabogota.gov.co/sisjur/normas/Norma1.jsp?i=6239" TargetMode="External"/><Relationship Id="rId280" Type="http://schemas.openxmlformats.org/officeDocument/2006/relationships/hyperlink" Target="http://www.alcaldiabogota.gov.co/sisjur/normas/Norma1.jsp?i=6239&amp;iu=0" TargetMode="External"/><Relationship Id="rId315" Type="http://schemas.openxmlformats.org/officeDocument/2006/relationships/hyperlink" Target="http://www.alcaldiabogota.gov.co/sisjur/normas/Norma1.jsp?i=6437&amp;iu=0" TargetMode="External"/><Relationship Id="rId336" Type="http://schemas.openxmlformats.org/officeDocument/2006/relationships/hyperlink" Target="http://www.alcaldiabogota.gov.co/sisjur/normas/Norma1.jsp?i=6239&amp;iu=0" TargetMode="External"/><Relationship Id="rId357" Type="http://schemas.openxmlformats.org/officeDocument/2006/relationships/hyperlink" Target="http://www.alcaldiabogota.gov.co/sisjur/normas/Norma1.jsp?i=7223&amp;iu=0" TargetMode="External"/><Relationship Id="rId54" Type="http://schemas.openxmlformats.org/officeDocument/2006/relationships/hyperlink" Target="http://www.alcaldiabogota.gov.co/sisjur/normas/Norma1.jsp?i=31646" TargetMode="External"/><Relationship Id="rId75" Type="http://schemas.openxmlformats.org/officeDocument/2006/relationships/hyperlink" Target="http://www.alcaldiabogota.gov.co/sisjur/normas/Norma1.jsp?i=14928" TargetMode="External"/><Relationship Id="rId96" Type="http://schemas.openxmlformats.org/officeDocument/2006/relationships/hyperlink" Target="http://www.alcaldiabogota.gov.co/sisjur/normas/Norma1.jsp?i=36841" TargetMode="External"/><Relationship Id="rId140" Type="http://schemas.openxmlformats.org/officeDocument/2006/relationships/hyperlink" Target="http://www.alcaldiabogota.gov.co/sisjur/normas/Norma1.jsp?i=13319" TargetMode="External"/><Relationship Id="rId161" Type="http://schemas.openxmlformats.org/officeDocument/2006/relationships/hyperlink" Target="http://www.alcaldiabogota.gov.co/sisjur/normas/Norma1.jsp?i=6887" TargetMode="External"/><Relationship Id="rId182" Type="http://schemas.openxmlformats.org/officeDocument/2006/relationships/hyperlink" Target="http://www.alcaldiabogota.gov.co/sisjur/normas/Norma1.jsp?i=274" TargetMode="External"/><Relationship Id="rId217" Type="http://schemas.openxmlformats.org/officeDocument/2006/relationships/hyperlink" Target="http://calsegen01.alcaldiabogota.gov.co:7772/sisjur/normas/Norma1.jsp?i=25932" TargetMode="External"/><Relationship Id="rId378" Type="http://schemas.openxmlformats.org/officeDocument/2006/relationships/hyperlink" Target="http://www.alcaldiabogota.gov.co/sisjur/normas/Norma1.jsp?i=6239&amp;iu=0" TargetMode="External"/><Relationship Id="rId399" Type="http://schemas.openxmlformats.org/officeDocument/2006/relationships/hyperlink" Target="http://www.alcaldiabogota.gov.co/sisjur/normas/Norma1.jsp?i=6437&amp;iu=0" TargetMode="External"/><Relationship Id="rId403" Type="http://schemas.openxmlformats.org/officeDocument/2006/relationships/hyperlink" Target="http://www.alcaldiabogota.gov.co/sisjur/normas/Norma1.jsp?i=6437&amp;iu=0" TargetMode="External"/><Relationship Id="rId6" Type="http://schemas.openxmlformats.org/officeDocument/2006/relationships/hyperlink" Target="http://www.alcaldiabogota.gov.co/sisjur/normas/Norma1.jsp?i=31246" TargetMode="External"/><Relationship Id="rId238" Type="http://schemas.openxmlformats.org/officeDocument/2006/relationships/hyperlink" Target="http://www.alcaldiabogota.gov.co/sisjur/normas/Norma1.jsp?i=15076" TargetMode="External"/><Relationship Id="rId259" Type="http://schemas.openxmlformats.org/officeDocument/2006/relationships/hyperlink" Target="http://www.alcaldiabogota.gov.co/sisjur/normas/Norma1.jsp?i=16499" TargetMode="External"/><Relationship Id="rId23" Type="http://schemas.openxmlformats.org/officeDocument/2006/relationships/hyperlink" Target="http://www.alcaldiabogota.gov.co/sisjur/normas/Norma1.jsp?i=25932" TargetMode="External"/><Relationship Id="rId119" Type="http://schemas.openxmlformats.org/officeDocument/2006/relationships/hyperlink" Target="http://www.alcaldiabogota.gov.co/sisjur/normas/Norma1.jsp?i=6239" TargetMode="External"/><Relationship Id="rId270" Type="http://schemas.openxmlformats.org/officeDocument/2006/relationships/hyperlink" Target="http://www.alcaldiabogota.gov.co/sisjur/normas/Norma1.jsp?i=7223&amp;iu=0" TargetMode="External"/><Relationship Id="rId291" Type="http://schemas.openxmlformats.org/officeDocument/2006/relationships/hyperlink" Target="http://www.alcaldiabogota.gov.co/sisjur/normas/Norma1.jsp?i=6303&amp;iu=0" TargetMode="External"/><Relationship Id="rId305" Type="http://schemas.openxmlformats.org/officeDocument/2006/relationships/hyperlink" Target="http://www.alcaldiabogota.gov.co/sisjur/normas/Norma1.jsp?i=7223&amp;iu=0" TargetMode="External"/><Relationship Id="rId326" Type="http://schemas.openxmlformats.org/officeDocument/2006/relationships/hyperlink" Target="http://www.alcaldiabogota.gov.co/sisjur/normas/Norma1.jsp?i=5355&amp;iu=0" TargetMode="External"/><Relationship Id="rId347" Type="http://schemas.openxmlformats.org/officeDocument/2006/relationships/hyperlink" Target="http://www.alcaldiabogota.gov.co/sisjur/normas/Norma1.jsp?i=7223&amp;iu=0" TargetMode="External"/><Relationship Id="rId44" Type="http://schemas.openxmlformats.org/officeDocument/2006/relationships/hyperlink" Target="http://www.alcaldiabogota.gov.co/sisjur/normas/Norma1.jsp?i=7223" TargetMode="External"/><Relationship Id="rId65" Type="http://schemas.openxmlformats.org/officeDocument/2006/relationships/hyperlink" Target="http://www.alcaldiabogota.gov.co/sisjur/normas/Norma1.jsp?i=14843" TargetMode="External"/><Relationship Id="rId86" Type="http://schemas.openxmlformats.org/officeDocument/2006/relationships/hyperlink" Target="http://www.alcaldiabogota.gov.co/sisjur/normas/Norma1.jsp?i=6186" TargetMode="External"/><Relationship Id="rId130" Type="http://schemas.openxmlformats.org/officeDocument/2006/relationships/hyperlink" Target="http://www.alcaldiabogota.gov.co/sisjur/normas/Norma1.jsp?i=6239" TargetMode="External"/><Relationship Id="rId151" Type="http://schemas.openxmlformats.org/officeDocument/2006/relationships/hyperlink" Target="http://www.alcaldiabogota.gov.co/sisjur/normas/Norma1.jsp?i=11179" TargetMode="External"/><Relationship Id="rId368" Type="http://schemas.openxmlformats.org/officeDocument/2006/relationships/hyperlink" Target="http://www.alcaldiabogota.gov.co/sisjur/normas/Norma1.jsp?i=6186&amp;iu=0" TargetMode="External"/><Relationship Id="rId389" Type="http://schemas.openxmlformats.org/officeDocument/2006/relationships/hyperlink" Target="http://www.alcaldiabogota.gov.co/sisjur/normas/Norma1.jsp?i=6239&amp;iu=0" TargetMode="External"/><Relationship Id="rId172" Type="http://schemas.openxmlformats.org/officeDocument/2006/relationships/hyperlink" Target="http://www.alcaldiabogota.gov.co/sisjur/normas/Norma1.jsp?i=5540" TargetMode="External"/><Relationship Id="rId193" Type="http://schemas.openxmlformats.org/officeDocument/2006/relationships/hyperlink" Target="http://www.alcaldiabogota.gov.co/sisjur/normas/Norma1.jsp?i=6437" TargetMode="External"/><Relationship Id="rId207" Type="http://schemas.openxmlformats.org/officeDocument/2006/relationships/hyperlink" Target="http://www.alcaldiabogota.gov.co/sisjur/normas/Norma1.jsp?i=6437" TargetMode="External"/><Relationship Id="rId228" Type="http://schemas.openxmlformats.org/officeDocument/2006/relationships/hyperlink" Target="http://www.alcaldiabogota.gov.co/sisjur/normas/Norma1.jsp?i=6780" TargetMode="External"/><Relationship Id="rId249" Type="http://schemas.openxmlformats.org/officeDocument/2006/relationships/hyperlink" Target="http://www.alcaldiabogota.gov.co/sisjur/normas/Norma1.jsp?i=5325" TargetMode="External"/><Relationship Id="rId414" Type="http://schemas.openxmlformats.org/officeDocument/2006/relationships/hyperlink" Target="http://www.alcaldiabogota.gov.co/sisjur/normas/Norma1.jsp?i=6239&amp;iu=0" TargetMode="External"/><Relationship Id="rId13" Type="http://schemas.openxmlformats.org/officeDocument/2006/relationships/hyperlink" Target="http://www.alcaldiabogota.gov.co/sisjur/normas/Norma1.jsp?i=33104" TargetMode="External"/><Relationship Id="rId109" Type="http://schemas.openxmlformats.org/officeDocument/2006/relationships/hyperlink" Target="http://www.alcaldiabogota.gov.co/sisjur/normas/Norma1.jsp?i=6239" TargetMode="External"/><Relationship Id="rId260" Type="http://schemas.openxmlformats.org/officeDocument/2006/relationships/image" Target="media/image1.gif"/><Relationship Id="rId281" Type="http://schemas.openxmlformats.org/officeDocument/2006/relationships/hyperlink" Target="http://www.alcaldiabogota.gov.co/sisjur/normas/Norma1.jsp?i=6239&amp;iu=0" TargetMode="External"/><Relationship Id="rId316" Type="http://schemas.openxmlformats.org/officeDocument/2006/relationships/hyperlink" Target="http://www.alcaldiabogota.gov.co/sisjur/normas/Norma1.jsp?i=6437&amp;iu=0" TargetMode="External"/><Relationship Id="rId337" Type="http://schemas.openxmlformats.org/officeDocument/2006/relationships/hyperlink" Target="http://www.alcaldiabogota.gov.co/sisjur/normas/Norma1.jsp?i=6239&amp;iu=0" TargetMode="External"/><Relationship Id="rId34" Type="http://schemas.openxmlformats.org/officeDocument/2006/relationships/hyperlink" Target="http://www.alcaldiabogota.gov.co/sisjur/normas/Norma1.jsp?i=34707" TargetMode="External"/><Relationship Id="rId55" Type="http://schemas.openxmlformats.org/officeDocument/2006/relationships/hyperlink" Target="http://www.alcaldiabogota.gov.co/sisjur/normas/Norma1.jsp?i=307" TargetMode="External"/><Relationship Id="rId76" Type="http://schemas.openxmlformats.org/officeDocument/2006/relationships/hyperlink" Target="http://calsegen01.alcaldiabogota.gov.co:7772/sisjur/normas/Norma1.jsp?i=25932" TargetMode="External"/><Relationship Id="rId97" Type="http://schemas.openxmlformats.org/officeDocument/2006/relationships/hyperlink" Target="http://www.alcaldiabogota.gov.co/sisjur/normas/Norma1.jsp?i=13319" TargetMode="External"/><Relationship Id="rId120" Type="http://schemas.openxmlformats.org/officeDocument/2006/relationships/hyperlink" Target="http://www.alcaldiabogota.gov.co/sisjur/normas/Norma1.jsp?i=31246" TargetMode="External"/><Relationship Id="rId141" Type="http://schemas.openxmlformats.org/officeDocument/2006/relationships/hyperlink" Target="http://www.alcaldiabogota.gov.co/sisjur/normas/Norma1.jsp?i=6239" TargetMode="External"/><Relationship Id="rId358" Type="http://schemas.openxmlformats.org/officeDocument/2006/relationships/hyperlink" Target="http://www.alcaldiabogota.gov.co/sisjur/normas/Norma1.jsp?i=7223&amp;iu=0" TargetMode="External"/><Relationship Id="rId379" Type="http://schemas.openxmlformats.org/officeDocument/2006/relationships/hyperlink" Target="http://www.alcaldiabogota.gov.co/sisjur/normas/Norma1.jsp?i=7223&amp;iu=0" TargetMode="External"/><Relationship Id="rId7" Type="http://schemas.openxmlformats.org/officeDocument/2006/relationships/hyperlink" Target="http://www.alcaldiabogota.gov.co/sisjur/normas/Norma1.jsp?i=13585" TargetMode="External"/><Relationship Id="rId162" Type="http://schemas.openxmlformats.org/officeDocument/2006/relationships/hyperlink" Target="http://www.alcaldiabogota.gov.co/sisjur/normas/Norma1.jsp?i=3802" TargetMode="External"/><Relationship Id="rId183" Type="http://schemas.openxmlformats.org/officeDocument/2006/relationships/hyperlink" Target="http://www.alcaldiabogota.gov.co/sisjur/normas/Norma1.jsp?i=5576" TargetMode="External"/><Relationship Id="rId218" Type="http://schemas.openxmlformats.org/officeDocument/2006/relationships/hyperlink" Target="http://www.alcaldiabogota.gov.co/sisjur/normas/Norma1.jsp?i=37344" TargetMode="External"/><Relationship Id="rId239" Type="http://schemas.openxmlformats.org/officeDocument/2006/relationships/hyperlink" Target="http://www.alcaldiabogota.gov.co/sisjur/normas/Norma1.jsp?i=2629" TargetMode="External"/><Relationship Id="rId390" Type="http://schemas.openxmlformats.org/officeDocument/2006/relationships/hyperlink" Target="http://www.alcaldiabogota.gov.co/sisjur/normas/Norma1.jsp?i=6239&amp;iu=0" TargetMode="External"/><Relationship Id="rId404" Type="http://schemas.openxmlformats.org/officeDocument/2006/relationships/hyperlink" Target="http://www.alcaldiabogota.gov.co/sisjur/normas/Norma1.jsp?i=1208&amp;iu=0" TargetMode="External"/><Relationship Id="rId250" Type="http://schemas.openxmlformats.org/officeDocument/2006/relationships/hyperlink" Target="http://www.alcaldiabogota.gov.co/sisjur/normas/Norma1.jsp?i=5540" TargetMode="External"/><Relationship Id="rId271" Type="http://schemas.openxmlformats.org/officeDocument/2006/relationships/hyperlink" Target="http://www.alcaldiabogota.gov.co/sisjur/normas/Norma1.jsp?i=7223&amp;iu=0" TargetMode="External"/><Relationship Id="rId292" Type="http://schemas.openxmlformats.org/officeDocument/2006/relationships/hyperlink" Target="http://www.alcaldiabogota.gov.co/sisjur/normas/Norma1.jsp?i=7223&amp;iu=0" TargetMode="External"/><Relationship Id="rId306" Type="http://schemas.openxmlformats.org/officeDocument/2006/relationships/hyperlink" Target="http://www.alcaldiabogota.gov.co/sisjur/normas/Norma1.jsp?i=7223&amp;iu=0" TargetMode="External"/><Relationship Id="rId24" Type="http://schemas.openxmlformats.org/officeDocument/2006/relationships/hyperlink" Target="http://www.alcaldiabogota.gov.co/sisjur/normas/Norma1.jsp?i=30010" TargetMode="External"/><Relationship Id="rId45" Type="http://schemas.openxmlformats.org/officeDocument/2006/relationships/hyperlink" Target="http://www.alcaldiabogota.gov.co/sisjur/normas/Norma1.jsp?i=36841" TargetMode="External"/><Relationship Id="rId66" Type="http://schemas.openxmlformats.org/officeDocument/2006/relationships/hyperlink" Target="http://www.alcaldiabogota.gov.co/sisjur/normas/Norma1.jsp?i=6186" TargetMode="External"/><Relationship Id="rId87" Type="http://schemas.openxmlformats.org/officeDocument/2006/relationships/hyperlink" Target="http://www.alcaldiabogota.gov.co/sisjur/normas/Norma1.jsp?i=11487" TargetMode="External"/><Relationship Id="rId110" Type="http://schemas.openxmlformats.org/officeDocument/2006/relationships/hyperlink" Target="http://www.alcaldiabogota.gov.co/sisjur/normas/Norma1.jsp?i=18840" TargetMode="External"/><Relationship Id="rId131" Type="http://schemas.openxmlformats.org/officeDocument/2006/relationships/hyperlink" Target="http://www.alcaldiabogota.gov.co/sisjur/normas/Norma1.jsp?i=6239" TargetMode="External"/><Relationship Id="rId327" Type="http://schemas.openxmlformats.org/officeDocument/2006/relationships/hyperlink" Target="http://www.alcaldiabogota.gov.co/sisjur/normas/Norma1.jsp?i=6437&amp;iu=0" TargetMode="External"/><Relationship Id="rId348" Type="http://schemas.openxmlformats.org/officeDocument/2006/relationships/hyperlink" Target="http://www.alcaldiabogota.gov.co/sisjur/normas/Norma1.jsp?i=7223&amp;iu=0" TargetMode="External"/><Relationship Id="rId369" Type="http://schemas.openxmlformats.org/officeDocument/2006/relationships/hyperlink" Target="http://www.alcaldiabogota.gov.co/sisjur/normas/Norma1.jsp?i=7223&amp;iu=0" TargetMode="External"/><Relationship Id="rId152" Type="http://schemas.openxmlformats.org/officeDocument/2006/relationships/hyperlink" Target="http://www.alcaldiabogota.gov.co/sisjur/normas/Norma1.jsp?i=10166" TargetMode="External"/><Relationship Id="rId173" Type="http://schemas.openxmlformats.org/officeDocument/2006/relationships/hyperlink" Target="http://www.alcaldiabogota.gov.co/sisjur/normas/Norma1.jsp?i=39178" TargetMode="External"/><Relationship Id="rId194" Type="http://schemas.openxmlformats.org/officeDocument/2006/relationships/hyperlink" Target="http://www.alcaldiabogota.gov.co/sisjur/normas/Norma1.jsp?i=32036" TargetMode="External"/><Relationship Id="rId208" Type="http://schemas.openxmlformats.org/officeDocument/2006/relationships/hyperlink" Target="http://www.alcaldiabogota.gov.co/sisjur/normas/Norma1.jsp?i=5354" TargetMode="External"/><Relationship Id="rId229" Type="http://schemas.openxmlformats.org/officeDocument/2006/relationships/hyperlink" Target="http://www.alcaldiabogota.gov.co/sisjur/normas/Norma1.jsp?i=35697" TargetMode="External"/><Relationship Id="rId380" Type="http://schemas.openxmlformats.org/officeDocument/2006/relationships/hyperlink" Target="http://www.alcaldiabogota.gov.co/sisjur/normas/Norma1.jsp?i=6239&amp;iu=0" TargetMode="External"/><Relationship Id="rId415" Type="http://schemas.openxmlformats.org/officeDocument/2006/relationships/hyperlink" Target="http://www.alcaldiabogota.gov.co/sisjur/normas/Norma1.jsp?i=6239&amp;iu=0" TargetMode="External"/><Relationship Id="rId240" Type="http://schemas.openxmlformats.org/officeDocument/2006/relationships/hyperlink" Target="http://www.alcaldiabogota.gov.co/sisjur/normas/Norma1.jsp?i=8804" TargetMode="External"/><Relationship Id="rId261" Type="http://schemas.openxmlformats.org/officeDocument/2006/relationships/hyperlink" Target="http://www.alcaldiabogota.gov.co/sisjur/normas/Norma1.jsp?i=345&amp;iu=0" TargetMode="External"/><Relationship Id="rId14" Type="http://schemas.openxmlformats.org/officeDocument/2006/relationships/hyperlink" Target="http://www.alcaldiabogota.gov.co/sisjur/normas/Norma1.jsp?i=12887" TargetMode="External"/><Relationship Id="rId35" Type="http://schemas.openxmlformats.org/officeDocument/2006/relationships/hyperlink" Target="http://www.alcaldiabogota.gov.co/sisjur/normas/Norma1.jsp?i=36841" TargetMode="External"/><Relationship Id="rId56" Type="http://schemas.openxmlformats.org/officeDocument/2006/relationships/hyperlink" Target="http://www.alcaldiabogota.gov.co/sisjur/normas/Norma1.jsp?i=7224" TargetMode="External"/><Relationship Id="rId77" Type="http://schemas.openxmlformats.org/officeDocument/2006/relationships/hyperlink" Target="http://www.alcaldiabogota.gov.co/sisjur/normas/Norma1.jsp?i=15625" TargetMode="External"/><Relationship Id="rId100" Type="http://schemas.openxmlformats.org/officeDocument/2006/relationships/hyperlink" Target="http://www.alcaldiabogota.gov.co/sisjur/normas/Norma1.jsp?i=6239" TargetMode="External"/><Relationship Id="rId282" Type="http://schemas.openxmlformats.org/officeDocument/2006/relationships/hyperlink" Target="http://www.alcaldiabogota.gov.co/sisjur/normas/Norma1.jsp?i=7223&amp;iu=0" TargetMode="External"/><Relationship Id="rId317" Type="http://schemas.openxmlformats.org/officeDocument/2006/relationships/hyperlink" Target="http://www.alcaldiabogota.gov.co/sisjur/normas/Norma1.jsp?i=6437&amp;iu=0" TargetMode="External"/><Relationship Id="rId338" Type="http://schemas.openxmlformats.org/officeDocument/2006/relationships/hyperlink" Target="http://www.alcaldiabogota.gov.co/sisjur/normas/Norma1.jsp?i=6239&amp;iu=0" TargetMode="External"/><Relationship Id="rId359" Type="http://schemas.openxmlformats.org/officeDocument/2006/relationships/hyperlink" Target="http://www.alcaldiabogota.gov.co/sisjur/normas/Norma1.jsp?i=7223&amp;iu=0" TargetMode="External"/><Relationship Id="rId8" Type="http://schemas.openxmlformats.org/officeDocument/2006/relationships/hyperlink" Target="http://www.alcaldiabogota.gov.co/sisjur/normas/Norma1.jsp?i=8804" TargetMode="External"/><Relationship Id="rId98" Type="http://schemas.openxmlformats.org/officeDocument/2006/relationships/hyperlink" Target="http://www.alcaldiabogota.gov.co/sisjur/normas/Norma1.jsp?i=6239" TargetMode="External"/><Relationship Id="rId121" Type="http://schemas.openxmlformats.org/officeDocument/2006/relationships/hyperlink" Target="http://www.alcaldiabogota.gov.co/sisjur/normas/Norma1.jsp?i=18840" TargetMode="External"/><Relationship Id="rId142" Type="http://schemas.openxmlformats.org/officeDocument/2006/relationships/hyperlink" Target="http://www.alcaldiabogota.gov.co/sisjur/normas/Norma1.jsp?i=6239" TargetMode="External"/><Relationship Id="rId163" Type="http://schemas.openxmlformats.org/officeDocument/2006/relationships/hyperlink" Target="http://www.alcaldiabogota.gov.co/sisjur/normas/Norma1.jsp?i=23745" TargetMode="External"/><Relationship Id="rId184" Type="http://schemas.openxmlformats.org/officeDocument/2006/relationships/hyperlink" Target="http://www.alcaldiabogota.gov.co/sisjur/normas/Norma1.jsp?i=38668" TargetMode="External"/><Relationship Id="rId219" Type="http://schemas.openxmlformats.org/officeDocument/2006/relationships/hyperlink" Target="http://www.alcaldiabogota.gov.co/sisjur/normas/Norma1.jsp?i=38661" TargetMode="External"/><Relationship Id="rId370" Type="http://schemas.openxmlformats.org/officeDocument/2006/relationships/hyperlink" Target="http://www.alcaldiabogota.gov.co/sisjur/normas/Norma1.jsp?i=6186&amp;iu=0" TargetMode="External"/><Relationship Id="rId391" Type="http://schemas.openxmlformats.org/officeDocument/2006/relationships/hyperlink" Target="http://www.alcaldiabogota.gov.co/sisjur/normas/Norma1.jsp?i=6239&amp;iu=0" TargetMode="External"/><Relationship Id="rId405" Type="http://schemas.openxmlformats.org/officeDocument/2006/relationships/hyperlink" Target="http://www.alcaldiabogota.gov.co/sisjur/normas/Norma1.jsp?i=6437&amp;iu=0" TargetMode="External"/><Relationship Id="rId230" Type="http://schemas.openxmlformats.org/officeDocument/2006/relationships/hyperlink" Target="http://www.alcaldiabogota.gov.co/sisjur/normas/Norma1.jsp?i=8785" TargetMode="External"/><Relationship Id="rId251" Type="http://schemas.openxmlformats.org/officeDocument/2006/relationships/hyperlink" Target="http://www.alcaldiabogota.gov.co/sisjur/normas/Norma1.jsp?i=5325" TargetMode="External"/><Relationship Id="rId25" Type="http://schemas.openxmlformats.org/officeDocument/2006/relationships/hyperlink" Target="http://www.alcaldiabogota.gov.co/sisjur/normas/Norma1.jsp?i=7223" TargetMode="External"/><Relationship Id="rId46" Type="http://schemas.openxmlformats.org/officeDocument/2006/relationships/hyperlink" Target="http://www.alcaldiabogota.gov.co/sisjur/normas/Norma1.jsp?i=7224" TargetMode="External"/><Relationship Id="rId67" Type="http://schemas.openxmlformats.org/officeDocument/2006/relationships/hyperlink" Target="http://www.alcaldiabogota.gov.co/sisjur/normas/Norma1.jsp?i=25932" TargetMode="External"/><Relationship Id="rId272" Type="http://schemas.openxmlformats.org/officeDocument/2006/relationships/hyperlink" Target="http://www.alcaldiabogota.gov.co/sisjur/normas/Norma1.jsp?i=7223&amp;iu=0" TargetMode="External"/><Relationship Id="rId293" Type="http://schemas.openxmlformats.org/officeDocument/2006/relationships/hyperlink" Target="http://www.alcaldiabogota.gov.co/sisjur/normas/Norma1.jsp?i=6239&amp;iu=0" TargetMode="External"/><Relationship Id="rId307" Type="http://schemas.openxmlformats.org/officeDocument/2006/relationships/hyperlink" Target="http://www.alcaldiabogota.gov.co/sisjur/normas/Norma1.jsp?i=7223&amp;iu=0" TargetMode="External"/><Relationship Id="rId328" Type="http://schemas.openxmlformats.org/officeDocument/2006/relationships/hyperlink" Target="http://www.alcaldiabogota.gov.co/sisjur/normas/Norma1.jsp?i=6239&amp;iu=0" TargetMode="External"/><Relationship Id="rId349" Type="http://schemas.openxmlformats.org/officeDocument/2006/relationships/hyperlink" Target="http://www.alcaldiabogota.gov.co/sisjur/normas/Norma1.jsp?i=7223&amp;iu=0" TargetMode="External"/><Relationship Id="rId88" Type="http://schemas.openxmlformats.org/officeDocument/2006/relationships/hyperlink" Target="http://www.alcaldiabogota.gov.co/sisjur/normas/Norma1.jsp?i=31246" TargetMode="External"/><Relationship Id="rId111" Type="http://schemas.openxmlformats.org/officeDocument/2006/relationships/hyperlink" Target="http://www.alcaldiabogota.gov.co/sisjur/normas/Norma1.jsp?i=6239" TargetMode="External"/><Relationship Id="rId132" Type="http://schemas.openxmlformats.org/officeDocument/2006/relationships/hyperlink" Target="http://www.alcaldiabogota.gov.co/sisjur/normas/Norma1.jsp?i=9916" TargetMode="External"/><Relationship Id="rId153" Type="http://schemas.openxmlformats.org/officeDocument/2006/relationships/hyperlink" Target="http://www.alcaldiabogota.gov.co/sisjur/normas/Norma1.jsp?i=32824" TargetMode="External"/><Relationship Id="rId174" Type="http://schemas.openxmlformats.org/officeDocument/2006/relationships/hyperlink" Target="http://www.alcaldiabogota.gov.co/sisjur/normas/Norma1.jsp?i=38668" TargetMode="External"/><Relationship Id="rId195" Type="http://schemas.openxmlformats.org/officeDocument/2006/relationships/hyperlink" Target="http://www.alcaldiabogota.gov.co/sisjur/normas/Norma1.jsp?i=38668" TargetMode="External"/><Relationship Id="rId209" Type="http://schemas.openxmlformats.org/officeDocument/2006/relationships/hyperlink" Target="http://www.alcaldiabogota.gov.co/sisjur/normas/Norma1.jsp?i=6780" TargetMode="External"/><Relationship Id="rId360" Type="http://schemas.openxmlformats.org/officeDocument/2006/relationships/hyperlink" Target="http://www.alcaldiabogota.gov.co/sisjur/normas/Norma1.jsp?i=345&amp;iu=0" TargetMode="External"/><Relationship Id="rId381" Type="http://schemas.openxmlformats.org/officeDocument/2006/relationships/hyperlink" Target="http://www.alcaldiabogota.gov.co/sisjur/normas/Norma1.jsp?i=6239&amp;iu=0" TargetMode="External"/><Relationship Id="rId416" Type="http://schemas.openxmlformats.org/officeDocument/2006/relationships/hyperlink" Target="http://www.alcaldiabogota.gov.co/sisjur/normas/Norma1.jsp?i=6239&amp;iu=0" TargetMode="External"/><Relationship Id="rId220" Type="http://schemas.openxmlformats.org/officeDocument/2006/relationships/hyperlink" Target="http://www.alcaldiabogota.gov.co/sisjur/normas/Norma1.jsp?i=11647" TargetMode="External"/><Relationship Id="rId241" Type="http://schemas.openxmlformats.org/officeDocument/2006/relationships/hyperlink" Target="http://www.alcaldiabogota.gov.co/sisjur/normas/Norma1.jsp?i=8803" TargetMode="External"/><Relationship Id="rId15" Type="http://schemas.openxmlformats.org/officeDocument/2006/relationships/hyperlink" Target="http://www.alcaldiabogota.gov.co/sisjur/normas/Norma1.jsp?i=36841" TargetMode="External"/><Relationship Id="rId36" Type="http://schemas.openxmlformats.org/officeDocument/2006/relationships/hyperlink" Target="http://www.alcaldiabogota.gov.co/sisjur/normas/Norma1.jsp?i=7223" TargetMode="External"/><Relationship Id="rId57" Type="http://schemas.openxmlformats.org/officeDocument/2006/relationships/hyperlink" Target="http://www.alcaldiabogota.gov.co/sisjur/normas/Norma1.jsp?i=28372" TargetMode="External"/><Relationship Id="rId262" Type="http://schemas.openxmlformats.org/officeDocument/2006/relationships/hyperlink" Target="http://www.alcaldiabogota.gov.co/sisjur/normas/Norma1.jsp?i=1208&amp;iu=0" TargetMode="External"/><Relationship Id="rId283" Type="http://schemas.openxmlformats.org/officeDocument/2006/relationships/hyperlink" Target="http://www.alcaldiabogota.gov.co/sisjur/normas/Norma1.jsp?i=6239&amp;iu=0" TargetMode="External"/><Relationship Id="rId318" Type="http://schemas.openxmlformats.org/officeDocument/2006/relationships/hyperlink" Target="http://www.alcaldiabogota.gov.co/sisjur/normas/Norma1.jsp?i=345&amp;iu=0" TargetMode="External"/><Relationship Id="rId339" Type="http://schemas.openxmlformats.org/officeDocument/2006/relationships/hyperlink" Target="http://www.alcaldiabogota.gov.co/sisjur/normas/Norma1.jsp?i=6239&amp;iu=0" TargetMode="External"/><Relationship Id="rId78" Type="http://schemas.openxmlformats.org/officeDocument/2006/relationships/hyperlink" Target="http://www.alcaldiabogota.gov.co/sisjur/normas/Norma1.jsp?i=31246" TargetMode="External"/><Relationship Id="rId99" Type="http://schemas.openxmlformats.org/officeDocument/2006/relationships/hyperlink" Target="http://calsegen01.alcaldiabogota.gov.co:7772/sisjur/normas/Norma1.jsp?i=25310" TargetMode="External"/><Relationship Id="rId101" Type="http://schemas.openxmlformats.org/officeDocument/2006/relationships/hyperlink" Target="http://www.alcaldiabogota.gov.co/sisjur/normas/Norma1.jsp?i=36841" TargetMode="External"/><Relationship Id="rId122" Type="http://schemas.openxmlformats.org/officeDocument/2006/relationships/hyperlink" Target="http://www.alcaldiabogota.gov.co/sisjur/normas/Norma1.jsp?i=6223" TargetMode="External"/><Relationship Id="rId143" Type="http://schemas.openxmlformats.org/officeDocument/2006/relationships/hyperlink" Target="http://www.alcaldiabogota.gov.co/sisjur/normas/Norma1.jsp?i=6239" TargetMode="External"/><Relationship Id="rId164" Type="http://schemas.openxmlformats.org/officeDocument/2006/relationships/hyperlink" Target="http://www.alcaldiabogota.gov.co/sisjur/normas/Norma1.jsp?i=6437" TargetMode="External"/><Relationship Id="rId185" Type="http://schemas.openxmlformats.org/officeDocument/2006/relationships/hyperlink" Target="http://www.alcaldiabogota.gov.co/sisjur/normas/Norma1.jsp?i=30885" TargetMode="External"/><Relationship Id="rId350" Type="http://schemas.openxmlformats.org/officeDocument/2006/relationships/hyperlink" Target="http://www.alcaldiabogota.gov.co/sisjur/normas/Norma1.jsp?i=7223&amp;iu=0" TargetMode="External"/><Relationship Id="rId371" Type="http://schemas.openxmlformats.org/officeDocument/2006/relationships/hyperlink" Target="http://www.alcaldiabogota.gov.co/sisjur/normas/Norma1.jsp?i=7223&amp;iu=0" TargetMode="External"/><Relationship Id="rId406" Type="http://schemas.openxmlformats.org/officeDocument/2006/relationships/hyperlink" Target="http://www.alcaldiabogota.gov.co/sisjur/normas/Norma1.jsp?i=6437&amp;iu=0" TargetMode="External"/><Relationship Id="rId9" Type="http://schemas.openxmlformats.org/officeDocument/2006/relationships/hyperlink" Target="http://www.alcaldiabogota.gov.co/sisjur/normas/Norma1.jsp?i=7408" TargetMode="External"/><Relationship Id="rId210" Type="http://schemas.openxmlformats.org/officeDocument/2006/relationships/hyperlink" Target="http://www.alcaldiabogota.gov.co/sisjur/normas/Norma1.jsp?i=5540" TargetMode="External"/><Relationship Id="rId392" Type="http://schemas.openxmlformats.org/officeDocument/2006/relationships/hyperlink" Target="http://www.alcaldiabogota.gov.co/sisjur/normas/Norma1.jsp?i=6229&amp;iu=0" TargetMode="External"/><Relationship Id="rId26" Type="http://schemas.openxmlformats.org/officeDocument/2006/relationships/hyperlink" Target="http://www.alcaldiabogota.gov.co/sisjur/normas/Norma1.jsp?i=9983" TargetMode="External"/><Relationship Id="rId231" Type="http://schemas.openxmlformats.org/officeDocument/2006/relationships/hyperlink" Target="http://www.alcaldiabogota.gov.co/sisjur/normas/Norma1.jsp?i=13940" TargetMode="External"/><Relationship Id="rId252" Type="http://schemas.openxmlformats.org/officeDocument/2006/relationships/hyperlink" Target="http://www.alcaldiabogota.gov.co/sisjur/normas/Norma1.jsp?i=1208" TargetMode="External"/><Relationship Id="rId273" Type="http://schemas.openxmlformats.org/officeDocument/2006/relationships/hyperlink" Target="http://www.alcaldiabogota.gov.co/sisjur/normas/Norma1.jsp?i=6239&amp;iu=0" TargetMode="External"/><Relationship Id="rId294" Type="http://schemas.openxmlformats.org/officeDocument/2006/relationships/hyperlink" Target="http://www.alcaldiabogota.gov.co/sisjur/normas/Norma1.jsp?i=6239&amp;iu=0" TargetMode="External"/><Relationship Id="rId308" Type="http://schemas.openxmlformats.org/officeDocument/2006/relationships/hyperlink" Target="http://www.alcaldiabogota.gov.co/sisjur/normas/Norma1.jsp?i=7223&amp;iu=0" TargetMode="External"/><Relationship Id="rId329" Type="http://schemas.openxmlformats.org/officeDocument/2006/relationships/hyperlink" Target="http://www.alcaldiabogota.gov.co/sisjur/normas/Norma1.jsp?i=6229&amp;iu=0" TargetMode="External"/><Relationship Id="rId47" Type="http://schemas.openxmlformats.org/officeDocument/2006/relationships/hyperlink" Target="http://www.alcaldiabogota.gov.co/sisjur/normas/Norma1.jsp?i=25932" TargetMode="External"/><Relationship Id="rId68" Type="http://schemas.openxmlformats.org/officeDocument/2006/relationships/hyperlink" Target="http://www.alcaldiabogota.gov.co/sisjur/normas/Norma1.jsp?i=30010" TargetMode="External"/><Relationship Id="rId89" Type="http://schemas.openxmlformats.org/officeDocument/2006/relationships/hyperlink" Target="http://www.alcaldiabogota.gov.co/sisjur/normas/Norma1.jsp?i=6303" TargetMode="External"/><Relationship Id="rId112" Type="http://schemas.openxmlformats.org/officeDocument/2006/relationships/hyperlink" Target="http://www.alcaldiabogota.gov.co/sisjur/normas/Norma1.jsp?i=6239" TargetMode="External"/><Relationship Id="rId133" Type="http://schemas.openxmlformats.org/officeDocument/2006/relationships/hyperlink" Target="http://www.alcaldiabogota.gov.co/sisjur/normas/Norma1.jsp?i=36841" TargetMode="External"/><Relationship Id="rId154" Type="http://schemas.openxmlformats.org/officeDocument/2006/relationships/hyperlink" Target="http://www.alcaldiabogota.gov.co/sisjur/normas/Norma1.jsp?i=5521" TargetMode="External"/><Relationship Id="rId175" Type="http://schemas.openxmlformats.org/officeDocument/2006/relationships/hyperlink" Target="http://www.alcaldiabogota.gov.co/sisjur/normas/Norma1.jsp?i=26901" TargetMode="External"/><Relationship Id="rId340" Type="http://schemas.openxmlformats.org/officeDocument/2006/relationships/hyperlink" Target="http://www.alcaldiabogota.gov.co/sisjur/normas/Norma1.jsp?i=6239&amp;iu=0" TargetMode="External"/><Relationship Id="rId361" Type="http://schemas.openxmlformats.org/officeDocument/2006/relationships/hyperlink" Target="http://www.alcaldiabogota.gov.co/sisjur/normas/Norma1.jsp?i=345&amp;iu=0" TargetMode="External"/><Relationship Id="rId196" Type="http://schemas.openxmlformats.org/officeDocument/2006/relationships/hyperlink" Target="http://www.alcaldiabogota.gov.co/sisjur/normas/Norma1.jsp?i=1208" TargetMode="External"/><Relationship Id="rId200" Type="http://schemas.openxmlformats.org/officeDocument/2006/relationships/hyperlink" Target="http://www.alcaldiabogota.gov.co/sisjur/normas/Norma1.jsp?i=14514" TargetMode="External"/><Relationship Id="rId382" Type="http://schemas.openxmlformats.org/officeDocument/2006/relationships/hyperlink" Target="http://www.alcaldiabogota.gov.co/sisjur/normas/Norma1.jsp?i=6239&amp;iu=0" TargetMode="External"/><Relationship Id="rId417" Type="http://schemas.openxmlformats.org/officeDocument/2006/relationships/hyperlink" Target="http://www.alcaldiabogota.gov.co/sisjur/normas/Norma1.jsp?i=6239&amp;iu=0" TargetMode="External"/><Relationship Id="rId16" Type="http://schemas.openxmlformats.org/officeDocument/2006/relationships/hyperlink" Target="http://www.alcaldiabogota.gov.co/sisjur/normas/Norma1.jsp?i=7223" TargetMode="External"/><Relationship Id="rId221" Type="http://schemas.openxmlformats.org/officeDocument/2006/relationships/hyperlink" Target="http://www.alcaldiabogota.gov.co/sisjur/normas/Norma1.jsp?i=38661" TargetMode="External"/><Relationship Id="rId242" Type="http://schemas.openxmlformats.org/officeDocument/2006/relationships/hyperlink" Target="http://www.alcaldiabogota.gov.co/sisjur/normas/Norma1.jsp?i=345" TargetMode="External"/><Relationship Id="rId263" Type="http://schemas.openxmlformats.org/officeDocument/2006/relationships/hyperlink" Target="http://www.alcaldiabogota.gov.co/sisjur/normas/Norma1.jsp?i=5357&amp;iu=0" TargetMode="External"/><Relationship Id="rId284" Type="http://schemas.openxmlformats.org/officeDocument/2006/relationships/hyperlink" Target="http://www.alcaldiabogota.gov.co/sisjur/normas/Norma1.jsp?i=6239&amp;iu=0" TargetMode="External"/><Relationship Id="rId319" Type="http://schemas.openxmlformats.org/officeDocument/2006/relationships/hyperlink" Target="http://www.alcaldiabogota.gov.co/sisjur/normas/Norma1.jsp?i=345&amp;iu=0" TargetMode="External"/><Relationship Id="rId37" Type="http://schemas.openxmlformats.org/officeDocument/2006/relationships/hyperlink" Target="http://www.alcaldiabogota.gov.co/sisjur/normas/Norma1.jsp?i=7224" TargetMode="External"/><Relationship Id="rId58" Type="http://schemas.openxmlformats.org/officeDocument/2006/relationships/hyperlink" Target="http://www.alcaldiabogota.gov.co/sisjur/normas/Norma1.jsp?i=7223" TargetMode="External"/><Relationship Id="rId79" Type="http://schemas.openxmlformats.org/officeDocument/2006/relationships/hyperlink" Target="http://www.alcaldiabogota.gov.co/sisjur/normas/Norma1.jsp?i=6186" TargetMode="External"/><Relationship Id="rId102" Type="http://schemas.openxmlformats.org/officeDocument/2006/relationships/hyperlink" Target="http://www.alcaldiabogota.gov.co/sisjur/normas/Norma1.jsp?i=6239" TargetMode="External"/><Relationship Id="rId123" Type="http://schemas.openxmlformats.org/officeDocument/2006/relationships/hyperlink" Target="http://www.alcaldiabogota.gov.co/sisjur/normas/Norma1.jsp?i=6239" TargetMode="External"/><Relationship Id="rId144" Type="http://schemas.openxmlformats.org/officeDocument/2006/relationships/hyperlink" Target="http://www.alcaldiabogota.gov.co/sisjur/normas/Norma1.jsp?i=6229" TargetMode="External"/><Relationship Id="rId330" Type="http://schemas.openxmlformats.org/officeDocument/2006/relationships/hyperlink" Target="http://www.alcaldiabogota.gov.co/sisjur/normas/Norma1.jsp?i=7223&amp;iu=0" TargetMode="External"/><Relationship Id="rId90" Type="http://schemas.openxmlformats.org/officeDocument/2006/relationships/hyperlink" Target="http://www.alcaldiabogota.gov.co/sisjur/normas/Norma1.jsp?i=11179" TargetMode="External"/><Relationship Id="rId165" Type="http://schemas.openxmlformats.org/officeDocument/2006/relationships/hyperlink" Target="http://www.alcaldiabogota.gov.co/sisjur/normas/Norma1.jsp?i=14541" TargetMode="External"/><Relationship Id="rId186" Type="http://schemas.openxmlformats.org/officeDocument/2006/relationships/hyperlink" Target="http://www.alcaldiabogota.gov.co/sisjur/normas/Norma1.jsp?i=1208" TargetMode="External"/><Relationship Id="rId351" Type="http://schemas.openxmlformats.org/officeDocument/2006/relationships/hyperlink" Target="http://www.alcaldiabogota.gov.co/sisjur/normas/Norma1.jsp?i=7223&amp;iu=0" TargetMode="External"/><Relationship Id="rId372" Type="http://schemas.openxmlformats.org/officeDocument/2006/relationships/hyperlink" Target="http://www.alcaldiabogota.gov.co/sisjur/normas/Norma1.jsp?i=7223&amp;iu=0" TargetMode="External"/><Relationship Id="rId393" Type="http://schemas.openxmlformats.org/officeDocument/2006/relationships/hyperlink" Target="http://www.alcaldiabogota.gov.co/sisjur/normas/Norma1.jsp?i=7223&amp;iu=0" TargetMode="External"/><Relationship Id="rId407" Type="http://schemas.openxmlformats.org/officeDocument/2006/relationships/hyperlink" Target="http://www.alcaldiabogota.gov.co/sisjur/normas/Norma1.jsp?i=6437&amp;iu=0" TargetMode="External"/><Relationship Id="rId211" Type="http://schemas.openxmlformats.org/officeDocument/2006/relationships/hyperlink" Target="http://www.alcaldiabogota.gov.co/sisjur/normas/Norma1.jsp?i=22600" TargetMode="External"/><Relationship Id="rId232" Type="http://schemas.openxmlformats.org/officeDocument/2006/relationships/hyperlink" Target="http://www.alcaldiabogota.gov.co/sisjur/normas/Norma1.jsp?i=13200" TargetMode="External"/><Relationship Id="rId253" Type="http://schemas.openxmlformats.org/officeDocument/2006/relationships/hyperlink" Target="http://www.alcaldiabogota.gov.co/sisjur/normas/Norma1.jsp?i=1208" TargetMode="External"/><Relationship Id="rId274" Type="http://schemas.openxmlformats.org/officeDocument/2006/relationships/hyperlink" Target="http://www.alcaldiabogota.gov.co/sisjur/normas/Norma1.jsp?i=6239&amp;iu=0" TargetMode="External"/><Relationship Id="rId295" Type="http://schemas.openxmlformats.org/officeDocument/2006/relationships/hyperlink" Target="http://www.alcaldiabogota.gov.co/sisjur/normas/Norma1.jsp?i=7223&amp;iu=0" TargetMode="External"/><Relationship Id="rId309" Type="http://schemas.openxmlformats.org/officeDocument/2006/relationships/hyperlink" Target="http://www.alcaldiabogota.gov.co/sisjur/normas/Norma1.jsp?i=345&amp;iu=0" TargetMode="External"/><Relationship Id="rId27" Type="http://schemas.openxmlformats.org/officeDocument/2006/relationships/hyperlink" Target="http://www.alcaldiabogota.gov.co/sisjur/normas/Norma1.jsp?i=7223" TargetMode="External"/><Relationship Id="rId48" Type="http://schemas.openxmlformats.org/officeDocument/2006/relationships/hyperlink" Target="http://www.alcaldiabogota.gov.co/sisjur/normas/Norma1.jsp?i=30010" TargetMode="External"/><Relationship Id="rId69" Type="http://schemas.openxmlformats.org/officeDocument/2006/relationships/hyperlink" Target="http://www.alcaldiabogota.gov.co/sisjur/normas/Norma1.jsp?i=7223" TargetMode="External"/><Relationship Id="rId113" Type="http://schemas.openxmlformats.org/officeDocument/2006/relationships/hyperlink" Target="http://www.alcaldiabogota.gov.co/sisjur/normas/Norma1.jsp?i=7223" TargetMode="External"/><Relationship Id="rId134" Type="http://schemas.openxmlformats.org/officeDocument/2006/relationships/hyperlink" Target="http://calsegen01.alcaldiabogota.gov.co:7772/sisjur/normas/Norma1.jsp?i=25726" TargetMode="External"/><Relationship Id="rId320" Type="http://schemas.openxmlformats.org/officeDocument/2006/relationships/hyperlink" Target="http://www.alcaldiabogota.gov.co/sisjur/normas/Norma1.jsp?i=6780&amp;iu=0" TargetMode="External"/><Relationship Id="rId80" Type="http://schemas.openxmlformats.org/officeDocument/2006/relationships/hyperlink" Target="http://www.alcaldiabogota.gov.co/sisjur/normas/Norma1.jsp?i=7223" TargetMode="External"/><Relationship Id="rId155" Type="http://schemas.openxmlformats.org/officeDocument/2006/relationships/hyperlink" Target="http://www.alcaldiabogota.gov.co/sisjur/normas/Norma1.jsp?i=38427" TargetMode="External"/><Relationship Id="rId176" Type="http://schemas.openxmlformats.org/officeDocument/2006/relationships/hyperlink" Target="http://www.alcaldiabogota.gov.co/sisjur/normas/Norma1.jsp?i=35090" TargetMode="External"/><Relationship Id="rId197" Type="http://schemas.openxmlformats.org/officeDocument/2006/relationships/hyperlink" Target="http://www.alcaldiabogota.gov.co/sisjur/normas/Norma1.jsp?i=38663" TargetMode="External"/><Relationship Id="rId341" Type="http://schemas.openxmlformats.org/officeDocument/2006/relationships/hyperlink" Target="http://www.alcaldiabogota.gov.co/sisjur/normas/Norma1.jsp?i=6779&amp;iu=0" TargetMode="External"/><Relationship Id="rId362" Type="http://schemas.openxmlformats.org/officeDocument/2006/relationships/hyperlink" Target="http://www.alcaldiabogota.gov.co/sisjur/normas/Norma1.jsp?i=7223&amp;iu=0" TargetMode="External"/><Relationship Id="rId383" Type="http://schemas.openxmlformats.org/officeDocument/2006/relationships/hyperlink" Target="http://www.alcaldiabogota.gov.co/sisjur/normas/Norma1.jsp?i=6239&amp;iu=0" TargetMode="External"/><Relationship Id="rId418" Type="http://schemas.openxmlformats.org/officeDocument/2006/relationships/hyperlink" Target="http://www.alcaldiabogota.gov.co/sisjur/normas/Norma1.jsp?i=7223&amp;iu=0" TargetMode="External"/><Relationship Id="rId201" Type="http://schemas.openxmlformats.org/officeDocument/2006/relationships/hyperlink" Target="http://www.alcaldiabogota.gov.co/sisjur/normas/Norma1.jsp?i=1331" TargetMode="External"/><Relationship Id="rId222" Type="http://schemas.openxmlformats.org/officeDocument/2006/relationships/hyperlink" Target="http://www.alcaldiabogota.gov.co/sisjur/normas/Norma1.jsp?i=6437" TargetMode="External"/><Relationship Id="rId243" Type="http://schemas.openxmlformats.org/officeDocument/2006/relationships/hyperlink" Target="http://www.alcaldiabogota.gov.co/sisjur/normas/Norma1.jsp?i=7223" TargetMode="External"/><Relationship Id="rId264" Type="http://schemas.openxmlformats.org/officeDocument/2006/relationships/hyperlink" Target="http://www.alcaldiabogota.gov.co/sisjur/normas/Norma1.jsp?i=7223&amp;iu=0" TargetMode="External"/><Relationship Id="rId285" Type="http://schemas.openxmlformats.org/officeDocument/2006/relationships/hyperlink" Target="http://www.alcaldiabogota.gov.co/sisjur/normas/Norma1.jsp?i=6239&amp;iu=0" TargetMode="External"/><Relationship Id="rId17" Type="http://schemas.openxmlformats.org/officeDocument/2006/relationships/hyperlink" Target="http://www.alcaldiabogota.gov.co/sisjur/normas/Norma1.jsp?i=33224" TargetMode="External"/><Relationship Id="rId38" Type="http://schemas.openxmlformats.org/officeDocument/2006/relationships/hyperlink" Target="http://www.alcaldiabogota.gov.co/sisjur/normas/Norma1.jsp?i=33224" TargetMode="External"/><Relationship Id="rId59" Type="http://schemas.openxmlformats.org/officeDocument/2006/relationships/hyperlink" Target="http://www.alcaldiabogota.gov.co/sisjur/normas/Norma1.jsp?i=18840" TargetMode="External"/><Relationship Id="rId103" Type="http://schemas.openxmlformats.org/officeDocument/2006/relationships/hyperlink" Target="http://www.alcaldiabogota.gov.co/sisjur/normas/Norma1.jsp?i=34707" TargetMode="External"/><Relationship Id="rId124" Type="http://schemas.openxmlformats.org/officeDocument/2006/relationships/hyperlink" Target="http://www.alcaldiabogota.gov.co/sisjur/normas/Norma1.jsp?i=6239" TargetMode="External"/><Relationship Id="rId310" Type="http://schemas.openxmlformats.org/officeDocument/2006/relationships/hyperlink" Target="http://www.alcaldiabogota.gov.co/sisjur/normas/Norma1.jsp?i=345&amp;iu=0" TargetMode="External"/><Relationship Id="rId70" Type="http://schemas.openxmlformats.org/officeDocument/2006/relationships/hyperlink" Target="http://www.alcaldiabogota.gov.co/sisjur/normas/Norma1.jsp?i=11173" TargetMode="External"/><Relationship Id="rId91" Type="http://schemas.openxmlformats.org/officeDocument/2006/relationships/hyperlink" Target="http://www.alcaldiabogota.gov.co/sisjur/normas/Norma1.jsp?i=7223" TargetMode="External"/><Relationship Id="rId145" Type="http://schemas.openxmlformats.org/officeDocument/2006/relationships/hyperlink" Target="http://www.alcaldiabogota.gov.co/sisjur/normas/Norma1.jsp?i=7223" TargetMode="External"/><Relationship Id="rId166" Type="http://schemas.openxmlformats.org/officeDocument/2006/relationships/hyperlink" Target="http://www.alcaldiabogota.gov.co/sisjur/normas/Norma1.jsp?i=5540" TargetMode="External"/><Relationship Id="rId187" Type="http://schemas.openxmlformats.org/officeDocument/2006/relationships/hyperlink" Target="http://www.alcaldiabogota.gov.co/sisjur/normas/Norma1.jsp?i=22600" TargetMode="External"/><Relationship Id="rId331" Type="http://schemas.openxmlformats.org/officeDocument/2006/relationships/hyperlink" Target="http://www.alcaldiabogota.gov.co/sisjur/normas/Norma1.jsp?i=6229&amp;iu=0" TargetMode="External"/><Relationship Id="rId352" Type="http://schemas.openxmlformats.org/officeDocument/2006/relationships/hyperlink" Target="http://www.alcaldiabogota.gov.co/sisjur/normas/Norma1.jsp?i=7223&amp;iu=0" TargetMode="External"/><Relationship Id="rId373" Type="http://schemas.openxmlformats.org/officeDocument/2006/relationships/hyperlink" Target="http://www.alcaldiabogota.gov.co/sisjur/normas/Norma1.jsp?i=6186&amp;iu=0" TargetMode="External"/><Relationship Id="rId394" Type="http://schemas.openxmlformats.org/officeDocument/2006/relationships/hyperlink" Target="http://www.alcaldiabogota.gov.co/sisjur/normas/Norma1.jsp?i=6229&amp;iu=0" TargetMode="External"/><Relationship Id="rId408" Type="http://schemas.openxmlformats.org/officeDocument/2006/relationships/hyperlink" Target="http://www.alcaldiabogota.gov.co/sisjur/normas/Norma1.jsp?i=345&amp;iu=0" TargetMode="External"/><Relationship Id="rId1" Type="http://schemas.openxmlformats.org/officeDocument/2006/relationships/numbering" Target="numbering.xml"/><Relationship Id="rId212" Type="http://schemas.openxmlformats.org/officeDocument/2006/relationships/hyperlink" Target="http://www.alcaldiabogota.gov.co/sisjur/normas/Norma1.jsp?i=33960" TargetMode="External"/><Relationship Id="rId233" Type="http://schemas.openxmlformats.org/officeDocument/2006/relationships/hyperlink" Target="http://www.alcaldiabogota.gov.co/sisjur/normas/Norma1.jsp?i=36627" TargetMode="External"/><Relationship Id="rId254" Type="http://schemas.openxmlformats.org/officeDocument/2006/relationships/hyperlink" Target="http://www.alcaldiabogota.gov.co/sisjur/normas/Norma1.jsp?i=1208" TargetMode="External"/><Relationship Id="rId28" Type="http://schemas.openxmlformats.org/officeDocument/2006/relationships/hyperlink" Target="http://www.alcaldiabogota.gov.co/sisjur/normas/Norma1.jsp?i=7223" TargetMode="External"/><Relationship Id="rId49" Type="http://schemas.openxmlformats.org/officeDocument/2006/relationships/hyperlink" Target="http://www.alcaldiabogota.gov.co/sisjur/normas/Norma1.jsp?i=7223" TargetMode="External"/><Relationship Id="rId114" Type="http://schemas.openxmlformats.org/officeDocument/2006/relationships/hyperlink" Target="http://www.alcaldiabogota.gov.co/sisjur/normas/Norma1.jsp?i=31246" TargetMode="External"/><Relationship Id="rId275" Type="http://schemas.openxmlformats.org/officeDocument/2006/relationships/hyperlink" Target="http://www.alcaldiabogota.gov.co/sisjur/normas/Norma1.jsp?i=7223&amp;iu=0" TargetMode="External"/><Relationship Id="rId296" Type="http://schemas.openxmlformats.org/officeDocument/2006/relationships/hyperlink" Target="http://www.alcaldiabogota.gov.co/sisjur/normas/Norma1.jsp?i=7223&amp;iu=0" TargetMode="External"/><Relationship Id="rId300" Type="http://schemas.openxmlformats.org/officeDocument/2006/relationships/hyperlink" Target="http://www.alcaldiabogota.gov.co/sisjur/normas/Norma1.jsp?i=7223&amp;iu=0" TargetMode="External"/><Relationship Id="rId60" Type="http://schemas.openxmlformats.org/officeDocument/2006/relationships/hyperlink" Target="http://www.alcaldiabogota.gov.co/sisjur/normas/Norma1.jsp?i=6303" TargetMode="External"/><Relationship Id="rId81" Type="http://schemas.openxmlformats.org/officeDocument/2006/relationships/hyperlink" Target="http://www.alcaldiabogota.gov.co/sisjur/normas/Norma1.jsp?i=7223" TargetMode="External"/><Relationship Id="rId135" Type="http://schemas.openxmlformats.org/officeDocument/2006/relationships/hyperlink" Target="http://www.alcaldiabogota.gov.co/sisjur/normas/Norma1.jsp?i=36841" TargetMode="External"/><Relationship Id="rId156" Type="http://schemas.openxmlformats.org/officeDocument/2006/relationships/hyperlink" Target="http://www.alcaldiabogota.gov.co/sisjur/normas/Norma1.jsp?i=281" TargetMode="External"/><Relationship Id="rId177" Type="http://schemas.openxmlformats.org/officeDocument/2006/relationships/hyperlink" Target="http://www.alcaldiabogota.gov.co/sisjur/normas/Norma1.jsp?i=28366" TargetMode="External"/><Relationship Id="rId198" Type="http://schemas.openxmlformats.org/officeDocument/2006/relationships/hyperlink" Target="http://www.alcaldiabogota.gov.co/sisjur/normas/Norma1.jsp?i=10684" TargetMode="External"/><Relationship Id="rId321" Type="http://schemas.openxmlformats.org/officeDocument/2006/relationships/hyperlink" Target="http://www.alcaldiabogota.gov.co/sisjur/normas/Norma1.jsp?i=307&amp;iu=0" TargetMode="External"/><Relationship Id="rId342" Type="http://schemas.openxmlformats.org/officeDocument/2006/relationships/hyperlink" Target="http://www.alcaldiabogota.gov.co/sisjur/normas/Norma1.jsp?i=7408&amp;iu=0" TargetMode="External"/><Relationship Id="rId363" Type="http://schemas.openxmlformats.org/officeDocument/2006/relationships/hyperlink" Target="http://www.alcaldiabogota.gov.co/sisjur/normas/Norma1.jsp?i=7223&amp;iu=0" TargetMode="External"/><Relationship Id="rId384" Type="http://schemas.openxmlformats.org/officeDocument/2006/relationships/hyperlink" Target="http://www.alcaldiabogota.gov.co/sisjur/normas/Norma1.jsp?i=6239&amp;iu=0" TargetMode="External"/><Relationship Id="rId419" Type="http://schemas.openxmlformats.org/officeDocument/2006/relationships/hyperlink" Target="http://www.alcaldiabogota.gov.co/sisjur/normas/Norma1.jsp?i=6239&amp;iu=0" TargetMode="External"/><Relationship Id="rId202" Type="http://schemas.openxmlformats.org/officeDocument/2006/relationships/hyperlink" Target="http://www.alcaldiabogota.gov.co/sisjur/normas/Norma1.jsp?i=14369" TargetMode="External"/><Relationship Id="rId223" Type="http://schemas.openxmlformats.org/officeDocument/2006/relationships/hyperlink" Target="http://www.alcaldiabogota.gov.co/sisjur/normas/Norma1.jsp?i=6437" TargetMode="External"/><Relationship Id="rId244" Type="http://schemas.openxmlformats.org/officeDocument/2006/relationships/hyperlink" Target="http://www.alcaldiabogota.gov.co/sisjur/normas/Norma1.jsp?i=7223" TargetMode="External"/><Relationship Id="rId18" Type="http://schemas.openxmlformats.org/officeDocument/2006/relationships/hyperlink" Target="http://www.alcaldiabogota.gov.co/sisjur/normas/Norma1.jsp?i=33224" TargetMode="External"/><Relationship Id="rId39" Type="http://schemas.openxmlformats.org/officeDocument/2006/relationships/hyperlink" Target="http://www.alcaldiabogota.gov.co/sisjur/normas/Norma1.jsp?i=7223" TargetMode="External"/><Relationship Id="rId265" Type="http://schemas.openxmlformats.org/officeDocument/2006/relationships/hyperlink" Target="http://www.alcaldiabogota.gov.co/sisjur/normas/Norma1.jsp?i=7223&amp;iu=0" TargetMode="External"/><Relationship Id="rId286" Type="http://schemas.openxmlformats.org/officeDocument/2006/relationships/hyperlink" Target="http://www.alcaldiabogota.gov.co/sisjur/normas/Norma1.jsp?i=7223&amp;iu=0" TargetMode="External"/><Relationship Id="rId50" Type="http://schemas.openxmlformats.org/officeDocument/2006/relationships/hyperlink" Target="http://www.alcaldiabogota.gov.co/sisjur/normas/Norma1.jsp?i=345" TargetMode="External"/><Relationship Id="rId104" Type="http://schemas.openxmlformats.org/officeDocument/2006/relationships/hyperlink" Target="http://www.alcaldiabogota.gov.co/sisjur/normas/Norma1.jsp?i=7223" TargetMode="External"/><Relationship Id="rId125" Type="http://schemas.openxmlformats.org/officeDocument/2006/relationships/hyperlink" Target="http://www.alcaldiabogota.gov.co/sisjur/normas/Norma1.jsp?i=18840" TargetMode="External"/><Relationship Id="rId146" Type="http://schemas.openxmlformats.org/officeDocument/2006/relationships/hyperlink" Target="http://www.alcaldiabogota.gov.co/sisjur/normas/Norma1.jsp?i=6229" TargetMode="External"/><Relationship Id="rId167" Type="http://schemas.openxmlformats.org/officeDocument/2006/relationships/hyperlink" Target="http://www.alcaldiabogota.gov.co/sisjur/normas/Norma1.jsp?i=4452" TargetMode="External"/><Relationship Id="rId188" Type="http://schemas.openxmlformats.org/officeDocument/2006/relationships/hyperlink" Target="http://www.alcaldiabogota.gov.co/sisjur/normas/Norma1.jsp?i=32036" TargetMode="External"/><Relationship Id="rId311" Type="http://schemas.openxmlformats.org/officeDocument/2006/relationships/hyperlink" Target="http://www.alcaldiabogota.gov.co/sisjur/normas/Norma1.jsp?i=6779&amp;iu=0" TargetMode="External"/><Relationship Id="rId332" Type="http://schemas.openxmlformats.org/officeDocument/2006/relationships/hyperlink" Target="http://www.alcaldiabogota.gov.co/sisjur/normas/Norma1.jsp?i=6229&amp;iu=0" TargetMode="External"/><Relationship Id="rId353" Type="http://schemas.openxmlformats.org/officeDocument/2006/relationships/hyperlink" Target="http://www.alcaldiabogota.gov.co/sisjur/normas/Norma1.jsp?i=7223&amp;iu=0" TargetMode="External"/><Relationship Id="rId374" Type="http://schemas.openxmlformats.org/officeDocument/2006/relationships/hyperlink" Target="http://www.alcaldiabogota.gov.co/sisjur/normas/Norma1.jsp?i=6303&amp;iu=0" TargetMode="External"/><Relationship Id="rId395" Type="http://schemas.openxmlformats.org/officeDocument/2006/relationships/hyperlink" Target="http://www.alcaldiabogota.gov.co/sisjur/normas/Norma1.jsp?i=6229&amp;iu=0" TargetMode="External"/><Relationship Id="rId409" Type="http://schemas.openxmlformats.org/officeDocument/2006/relationships/hyperlink" Target="http://www.alcaldiabogota.gov.co/sisjur/normas/Norma1.jsp?i=345&amp;iu=0" TargetMode="External"/><Relationship Id="rId71" Type="http://schemas.openxmlformats.org/officeDocument/2006/relationships/hyperlink" Target="http://www.alcaldiabogota.gov.co/sisjur/normas/Norma1.jsp?i=11173" TargetMode="External"/><Relationship Id="rId92" Type="http://schemas.openxmlformats.org/officeDocument/2006/relationships/hyperlink" Target="http://www.alcaldiabogota.gov.co/sisjur/normas/Norma1.jsp?i=9316" TargetMode="External"/><Relationship Id="rId213" Type="http://schemas.openxmlformats.org/officeDocument/2006/relationships/hyperlink" Target="http://www.alcaldiabogota.gov.co/sisjur/normas/Norma1.jsp?i=39560" TargetMode="External"/><Relationship Id="rId234" Type="http://schemas.openxmlformats.org/officeDocument/2006/relationships/hyperlink" Target="http://www.alcaldiabogota.gov.co/sisjur/normas/Norma1.jsp?i=14541" TargetMode="External"/><Relationship Id="rId420" Type="http://schemas.openxmlformats.org/officeDocument/2006/relationships/hyperlink" Target="http://www.alcaldiabogota.gov.co/sisjur/normas/Norma1.jsp?i=6239&amp;iu=0" TargetMode="External"/><Relationship Id="rId2" Type="http://schemas.openxmlformats.org/officeDocument/2006/relationships/styles" Target="styles.xml"/><Relationship Id="rId29" Type="http://schemas.openxmlformats.org/officeDocument/2006/relationships/hyperlink" Target="http://www.alcaldiabogota.gov.co/sisjur/normas/Norma1.jsp?i=7223" TargetMode="External"/><Relationship Id="rId255" Type="http://schemas.openxmlformats.org/officeDocument/2006/relationships/hyperlink" Target="http://www.alcaldiabogota.gov.co/sisjur/normas/Norma1.jsp?i=29064" TargetMode="External"/><Relationship Id="rId276" Type="http://schemas.openxmlformats.org/officeDocument/2006/relationships/hyperlink" Target="http://www.alcaldiabogota.gov.co/sisjur/normas/Norma1.jsp?i=6239&amp;iu=0" TargetMode="External"/><Relationship Id="rId297" Type="http://schemas.openxmlformats.org/officeDocument/2006/relationships/hyperlink" Target="http://www.alcaldiabogota.gov.co/sisjur/normas/Norma1.jsp?i=6303&amp;iu=0" TargetMode="External"/><Relationship Id="rId40" Type="http://schemas.openxmlformats.org/officeDocument/2006/relationships/hyperlink" Target="http://www.alcaldiabogota.gov.co/sisjur/normas/Norma1.jsp?i=7223" TargetMode="External"/><Relationship Id="rId115" Type="http://schemas.openxmlformats.org/officeDocument/2006/relationships/hyperlink" Target="http://www.alcaldiabogota.gov.co/sisjur/normas/Norma1.jsp?i=31244" TargetMode="External"/><Relationship Id="rId136" Type="http://schemas.openxmlformats.org/officeDocument/2006/relationships/hyperlink" Target="http://www.alcaldiabogota.gov.co/sisjur/normas/Norma1.jsp?i=36841" TargetMode="External"/><Relationship Id="rId157" Type="http://schemas.openxmlformats.org/officeDocument/2006/relationships/hyperlink" Target="http://www.alcaldiabogota.gov.co/sisjur/normas/Norma1.jsp?i=5471" TargetMode="External"/><Relationship Id="rId178" Type="http://schemas.openxmlformats.org/officeDocument/2006/relationships/hyperlink" Target="http://www.alcaldiabogota.gov.co/sisjur/normas/Norma1.jsp?i=28332" TargetMode="External"/><Relationship Id="rId301" Type="http://schemas.openxmlformats.org/officeDocument/2006/relationships/hyperlink" Target="http://www.alcaldiabogota.gov.co/sisjur/normas/Norma1.jsp?i=6186&amp;iu=0" TargetMode="External"/><Relationship Id="rId322" Type="http://schemas.openxmlformats.org/officeDocument/2006/relationships/hyperlink" Target="http://www.alcaldiabogota.gov.co/sisjur/normas/Norma1.jsp?i=6437&amp;iu=0" TargetMode="External"/><Relationship Id="rId343" Type="http://schemas.openxmlformats.org/officeDocument/2006/relationships/hyperlink" Target="http://www.alcaldiabogota.gov.co/sisjur/normas/Norma1.jsp?i=7839&amp;iu=0" TargetMode="External"/><Relationship Id="rId364" Type="http://schemas.openxmlformats.org/officeDocument/2006/relationships/hyperlink" Target="http://www.alcaldiabogota.gov.co/sisjur/normas/Norma1.jsp?i=6303&amp;iu=0" TargetMode="External"/><Relationship Id="rId61" Type="http://schemas.openxmlformats.org/officeDocument/2006/relationships/hyperlink" Target="http://www.alcaldiabogota.gov.co/sisjur/normas/Norma1.jsp?i=36034" TargetMode="External"/><Relationship Id="rId82" Type="http://schemas.openxmlformats.org/officeDocument/2006/relationships/hyperlink" Target="http://www.alcaldiabogota.gov.co/sisjur/normas/Norma1.jsp?i=31246" TargetMode="External"/><Relationship Id="rId199" Type="http://schemas.openxmlformats.org/officeDocument/2006/relationships/hyperlink" Target="http://www.alcaldiabogota.gov.co/sisjur/normas/Norma1.jsp?i=" TargetMode="External"/><Relationship Id="rId203" Type="http://schemas.openxmlformats.org/officeDocument/2006/relationships/hyperlink" Target="http://www.alcaldiabogota.gov.co/sisjur/normas/Norma1.jsp?i=3356" TargetMode="External"/><Relationship Id="rId385" Type="http://schemas.openxmlformats.org/officeDocument/2006/relationships/hyperlink" Target="http://www.alcaldiabogota.gov.co/sisjur/normas/Norma1.jsp?i=6239&amp;iu=0" TargetMode="External"/><Relationship Id="rId19" Type="http://schemas.openxmlformats.org/officeDocument/2006/relationships/hyperlink" Target="http://www.alcaldiabogota.gov.co/sisjur/normas/Norma1.jsp?i=7223" TargetMode="External"/><Relationship Id="rId224" Type="http://schemas.openxmlformats.org/officeDocument/2006/relationships/hyperlink" Target="http://www.alcaldiabogota.gov.co/sisjur/normas/Norma1.jsp?i=345" TargetMode="External"/><Relationship Id="rId245" Type="http://schemas.openxmlformats.org/officeDocument/2006/relationships/hyperlink" Target="http://www.alcaldiabogota.gov.co/sisjur/normas/Norma1.jsp?i=7223" TargetMode="External"/><Relationship Id="rId266" Type="http://schemas.openxmlformats.org/officeDocument/2006/relationships/hyperlink" Target="http://www.alcaldiabogota.gov.co/sisjur/normas/Norma1.jsp?i=7223&amp;iu=0" TargetMode="External"/><Relationship Id="rId287" Type="http://schemas.openxmlformats.org/officeDocument/2006/relationships/hyperlink" Target="http://www.alcaldiabogota.gov.co/sisjur/normas/Norma1.jsp?i=6186&amp;iu=0" TargetMode="External"/><Relationship Id="rId410" Type="http://schemas.openxmlformats.org/officeDocument/2006/relationships/hyperlink" Target="http://www.alcaldiabogota.gov.co/sisjur/normas/Norma1.jsp?i=6780&amp;iu=0" TargetMode="External"/><Relationship Id="rId30" Type="http://schemas.openxmlformats.org/officeDocument/2006/relationships/hyperlink" Target="http://www.alcaldiabogota.gov.co/sisjur/normas/Norma1.jsp?i=7223" TargetMode="External"/><Relationship Id="rId105" Type="http://schemas.openxmlformats.org/officeDocument/2006/relationships/hyperlink" Target="http://www.alcaldiabogota.gov.co/sisjur/normas/Norma1.jsp?i=18840" TargetMode="External"/><Relationship Id="rId126" Type="http://schemas.openxmlformats.org/officeDocument/2006/relationships/hyperlink" Target="http://www.alcaldiabogota.gov.co/sisjur/normas/Norma1.jsp?i=18840" TargetMode="External"/><Relationship Id="rId147" Type="http://schemas.openxmlformats.org/officeDocument/2006/relationships/hyperlink" Target="http://calsegen01.alcaldiabogota.gov.co:7772/sisjur/normas/Norma1.jsp?i=26472" TargetMode="External"/><Relationship Id="rId168" Type="http://schemas.openxmlformats.org/officeDocument/2006/relationships/hyperlink" Target="http://www.alcaldiabogota.gov.co/sisjur/normas/Norma1.jsp?i=12185" TargetMode="External"/><Relationship Id="rId312" Type="http://schemas.openxmlformats.org/officeDocument/2006/relationships/hyperlink" Target="http://www.alcaldiabogota.gov.co/sisjur/normas/Norma1.jsp?i=7408&amp;iu=0" TargetMode="External"/><Relationship Id="rId333" Type="http://schemas.openxmlformats.org/officeDocument/2006/relationships/hyperlink" Target="http://www.alcaldiabogota.gov.co/sisjur/normas/Norma1.jsp?i=6887&amp;iu=0" TargetMode="External"/><Relationship Id="rId354" Type="http://schemas.openxmlformats.org/officeDocument/2006/relationships/hyperlink" Target="http://www.alcaldiabogota.gov.co/sisjur/normas/Norma1.jsp?i=7223&amp;iu=0" TargetMode="External"/><Relationship Id="rId51" Type="http://schemas.openxmlformats.org/officeDocument/2006/relationships/hyperlink" Target="http://www.alcaldiabogota.gov.co/sisjur/normas/Norma1.jsp?i=345" TargetMode="External"/><Relationship Id="rId72" Type="http://schemas.openxmlformats.org/officeDocument/2006/relationships/hyperlink" Target="http://www.alcaldiabogota.gov.co/sisjur/normas/Norma1.jsp?i=39562" TargetMode="External"/><Relationship Id="rId93" Type="http://schemas.openxmlformats.org/officeDocument/2006/relationships/hyperlink" Target="http://www.alcaldiabogota.gov.co/sisjur/normas/Norma1.jsp?i=6239" TargetMode="External"/><Relationship Id="rId189" Type="http://schemas.openxmlformats.org/officeDocument/2006/relationships/hyperlink" Target="http://www.alcaldiabogota.gov.co/sisjur/normas/Norma1.jsp?i=1208" TargetMode="External"/><Relationship Id="rId375" Type="http://schemas.openxmlformats.org/officeDocument/2006/relationships/hyperlink" Target="http://www.alcaldiabogota.gov.co/sisjur/normas/Norma1.jsp?i=7223&amp;iu=0" TargetMode="External"/><Relationship Id="rId396" Type="http://schemas.openxmlformats.org/officeDocument/2006/relationships/hyperlink" Target="http://www.alcaldiabogota.gov.co/sisjur/normas/Norma1.jsp?i=6887&amp;iu=0" TargetMode="External"/><Relationship Id="rId3" Type="http://schemas.openxmlformats.org/officeDocument/2006/relationships/settings" Target="settings.xml"/><Relationship Id="rId214" Type="http://schemas.openxmlformats.org/officeDocument/2006/relationships/hyperlink" Target="http://www.alcaldiabogota.gov.co/sisjur/normas/Norma1.jsp?i=12185" TargetMode="External"/><Relationship Id="rId235" Type="http://schemas.openxmlformats.org/officeDocument/2006/relationships/hyperlink" Target="http://www.alcaldiabogota.gov.co/sisjur/normas/Norma1.jsp?i=9751" TargetMode="External"/><Relationship Id="rId256" Type="http://schemas.openxmlformats.org/officeDocument/2006/relationships/hyperlink" Target="http://www.alcaldiabogota.gov.co/sisjur/normas/Norma1.jsp?i=5357" TargetMode="External"/><Relationship Id="rId277" Type="http://schemas.openxmlformats.org/officeDocument/2006/relationships/hyperlink" Target="http://www.alcaldiabogota.gov.co/sisjur/normas/Norma1.jsp?i=6239&amp;iu=0" TargetMode="External"/><Relationship Id="rId298" Type="http://schemas.openxmlformats.org/officeDocument/2006/relationships/hyperlink" Target="http://www.alcaldiabogota.gov.co/sisjur/normas/Norma1.jsp?i=7223&amp;iu=0" TargetMode="External"/><Relationship Id="rId400" Type="http://schemas.openxmlformats.org/officeDocument/2006/relationships/hyperlink" Target="http://www.alcaldiabogota.gov.co/sisjur/normas/Norma1.jsp?i=1208&amp;iu=0" TargetMode="External"/><Relationship Id="rId421" Type="http://schemas.openxmlformats.org/officeDocument/2006/relationships/fontTable" Target="fontTable.xml"/><Relationship Id="rId116" Type="http://schemas.openxmlformats.org/officeDocument/2006/relationships/hyperlink" Target="http://www.alcaldiabogota.gov.co/sisjur/normas/Norma1.jsp?i=18840" TargetMode="External"/><Relationship Id="rId137" Type="http://schemas.openxmlformats.org/officeDocument/2006/relationships/hyperlink" Target="http://www.alcaldiabogota.gov.co/sisjur/normas/Norma1.jsp?i=38273" TargetMode="External"/><Relationship Id="rId158" Type="http://schemas.openxmlformats.org/officeDocument/2006/relationships/hyperlink" Target="http://www.alcaldiabogota.gov.co/sisjur/normas/Norma1.jsp?i=4894" TargetMode="External"/><Relationship Id="rId302" Type="http://schemas.openxmlformats.org/officeDocument/2006/relationships/hyperlink" Target="http://www.alcaldiabogota.gov.co/sisjur/normas/Norma1.jsp?i=7223&amp;iu=0" TargetMode="External"/><Relationship Id="rId323" Type="http://schemas.openxmlformats.org/officeDocument/2006/relationships/hyperlink" Target="http://www.alcaldiabogota.gov.co/sisjur/normas/Norma1.jsp?i=6437&amp;iu=0" TargetMode="External"/><Relationship Id="rId344" Type="http://schemas.openxmlformats.org/officeDocument/2006/relationships/hyperlink" Target="http://www.alcaldiabogota.gov.co/sisjur/normas/Norma1.jsp?i=7223&amp;iu=0" TargetMode="External"/><Relationship Id="rId20" Type="http://schemas.openxmlformats.org/officeDocument/2006/relationships/hyperlink" Target="http://www.alcaldiabogota.gov.co/sisjur/normas/Norma1.jsp?i=7223" TargetMode="External"/><Relationship Id="rId41" Type="http://schemas.openxmlformats.org/officeDocument/2006/relationships/hyperlink" Target="http://www.alcaldiabogota.gov.co/sisjur/normas/Norma1.jsp?i=7223" TargetMode="External"/><Relationship Id="rId62" Type="http://schemas.openxmlformats.org/officeDocument/2006/relationships/hyperlink" Target="http://www.alcaldiabogota.gov.co/sisjur/normas/Norma1.jsp?i=17236" TargetMode="External"/><Relationship Id="rId83" Type="http://schemas.openxmlformats.org/officeDocument/2006/relationships/hyperlink" Target="http://www.alcaldiabogota.gov.co/sisjur/normas/Norma1.jsp?i=11153" TargetMode="External"/><Relationship Id="rId179" Type="http://schemas.openxmlformats.org/officeDocument/2006/relationships/hyperlink" Target="http://www.alcaldiabogota.gov.co/sisjur/normas/Norma1.jsp?i=5576" TargetMode="External"/><Relationship Id="rId365" Type="http://schemas.openxmlformats.org/officeDocument/2006/relationships/hyperlink" Target="http://www.alcaldiabogota.gov.co/sisjur/normas/Norma1.jsp?i=7223&amp;iu=0" TargetMode="External"/><Relationship Id="rId386" Type="http://schemas.openxmlformats.org/officeDocument/2006/relationships/hyperlink" Target="http://www.alcaldiabogota.gov.co/sisjur/normas/Norma1.jsp?i=6239&amp;iu=0" TargetMode="External"/><Relationship Id="rId190" Type="http://schemas.openxmlformats.org/officeDocument/2006/relationships/hyperlink" Target="http://www.alcaldiabogota.gov.co/sisjur/normas/Norma1.jsp?i=3421" TargetMode="External"/><Relationship Id="rId204" Type="http://schemas.openxmlformats.org/officeDocument/2006/relationships/hyperlink" Target="http://www.alcaldiabogota.gov.co/sisjur/normas/Norma1.jsp?i=3356" TargetMode="External"/><Relationship Id="rId225" Type="http://schemas.openxmlformats.org/officeDocument/2006/relationships/hyperlink" Target="http://www.alcaldiabogota.gov.co/sisjur/normas/Norma1.jsp?i=4938" TargetMode="External"/><Relationship Id="rId246" Type="http://schemas.openxmlformats.org/officeDocument/2006/relationships/hyperlink" Target="http://www.alcaldiabogota.gov.co/sisjur/normas/Norma1.jsp?i=5540" TargetMode="External"/><Relationship Id="rId267" Type="http://schemas.openxmlformats.org/officeDocument/2006/relationships/hyperlink" Target="http://www.alcaldiabogota.gov.co/sisjur/normas/Norma1.jsp?i=7223&amp;iu=0" TargetMode="External"/><Relationship Id="rId288" Type="http://schemas.openxmlformats.org/officeDocument/2006/relationships/hyperlink" Target="http://www.alcaldiabogota.gov.co/sisjur/normas/Norma1.jsp?i=7223&amp;iu=0" TargetMode="External"/><Relationship Id="rId411" Type="http://schemas.openxmlformats.org/officeDocument/2006/relationships/hyperlink" Target="http://www.alcaldiabogota.gov.co/sisjur/normas/Norma1.jsp?i=345&amp;iu=0" TargetMode="External"/><Relationship Id="rId106" Type="http://schemas.openxmlformats.org/officeDocument/2006/relationships/hyperlink" Target="http://www.alcaldiabogota.gov.co/sisjur/normas/Norma1.jsp?i=6239" TargetMode="External"/><Relationship Id="rId127" Type="http://schemas.openxmlformats.org/officeDocument/2006/relationships/hyperlink" Target="http://www.alcaldiabogota.gov.co/sisjur/normas/Norma1.jsp?i=6239" TargetMode="External"/><Relationship Id="rId313" Type="http://schemas.openxmlformats.org/officeDocument/2006/relationships/hyperlink" Target="http://www.alcaldiabogota.gov.co/sisjur/normas/Norma1.jsp?i=7839&amp;iu=0" TargetMode="External"/><Relationship Id="rId10" Type="http://schemas.openxmlformats.org/officeDocument/2006/relationships/hyperlink" Target="http://www.alcaldiabogota.gov.co/sisjur/normas/Norma1.jsp?i=7839" TargetMode="External"/><Relationship Id="rId31" Type="http://schemas.openxmlformats.org/officeDocument/2006/relationships/hyperlink" Target="http://www.alcaldiabogota.gov.co/sisjur/normas/Norma1.jsp?i=7223" TargetMode="External"/><Relationship Id="rId52" Type="http://schemas.openxmlformats.org/officeDocument/2006/relationships/hyperlink" Target="http://www.alcaldiabogota.gov.co/sisjur/normas/Norma1.jsp?i=7223" TargetMode="External"/><Relationship Id="rId73" Type="http://schemas.openxmlformats.org/officeDocument/2006/relationships/hyperlink" Target="http://www.alcaldiabogota.gov.co/sisjur/normas/Norma1.jsp?i=18840" TargetMode="External"/><Relationship Id="rId94" Type="http://schemas.openxmlformats.org/officeDocument/2006/relationships/hyperlink" Target="http://www.alcaldiabogota.gov.co/sisjur/normas/Norma1.jsp?i=36841" TargetMode="External"/><Relationship Id="rId148" Type="http://schemas.openxmlformats.org/officeDocument/2006/relationships/hyperlink" Target="http://www.alcaldiabogota.gov.co/sisjur/normas/Norma1.jsp?i=11179" TargetMode="External"/><Relationship Id="rId169" Type="http://schemas.openxmlformats.org/officeDocument/2006/relationships/hyperlink" Target="http://www.alcaldiabogota.gov.co/sisjur/normas/Norma1.jsp?i=6437" TargetMode="External"/><Relationship Id="rId334" Type="http://schemas.openxmlformats.org/officeDocument/2006/relationships/hyperlink" Target="http://www.alcaldiabogota.gov.co/sisjur/normas/Norma1.jsp?i=6239&amp;iu=0" TargetMode="External"/><Relationship Id="rId355" Type="http://schemas.openxmlformats.org/officeDocument/2006/relationships/hyperlink" Target="http://www.alcaldiabogota.gov.co/sisjur/normas/Norma1.jsp?i=7223&amp;iu=0" TargetMode="External"/><Relationship Id="rId376" Type="http://schemas.openxmlformats.org/officeDocument/2006/relationships/hyperlink" Target="http://www.alcaldiabogota.gov.co/sisjur/normas/Norma1.jsp?i=6239&amp;iu=0" TargetMode="External"/><Relationship Id="rId397" Type="http://schemas.openxmlformats.org/officeDocument/2006/relationships/hyperlink" Target="http://www.alcaldiabogota.gov.co/sisjur/normas/Norma1.jsp?i=307&amp;iu=0" TargetMode="External"/><Relationship Id="rId4" Type="http://schemas.openxmlformats.org/officeDocument/2006/relationships/webSettings" Target="webSettings.xml"/><Relationship Id="rId180" Type="http://schemas.openxmlformats.org/officeDocument/2006/relationships/hyperlink" Target="http://www.alcaldiabogota.gov.co/sisjur/normas/Norma1.jsp?i=22600" TargetMode="External"/><Relationship Id="rId215" Type="http://schemas.openxmlformats.org/officeDocument/2006/relationships/hyperlink" Target="http://www.alcaldiabogota.gov.co/sisjur/normas/Norma1.jsp?i=6780" TargetMode="External"/><Relationship Id="rId236" Type="http://schemas.openxmlformats.org/officeDocument/2006/relationships/hyperlink" Target="http://www.alcaldiabogota.gov.co/sisjur/normas/Norma1.jsp?i=5248" TargetMode="External"/><Relationship Id="rId257" Type="http://schemas.openxmlformats.org/officeDocument/2006/relationships/hyperlink" Target="http://www.alcaldiabogota.gov.co/sisjur/normas/Norma1.jsp?i=10166" TargetMode="External"/><Relationship Id="rId278" Type="http://schemas.openxmlformats.org/officeDocument/2006/relationships/hyperlink" Target="http://www.alcaldiabogota.gov.co/sisjur/normas/Norma1.jsp?i=6239&amp;iu=0" TargetMode="External"/><Relationship Id="rId401" Type="http://schemas.openxmlformats.org/officeDocument/2006/relationships/hyperlink" Target="http://www.alcaldiabogota.gov.co/sisjur/normas/Norma1.jsp?i=1208&amp;iu=0" TargetMode="External"/><Relationship Id="rId422" Type="http://schemas.openxmlformats.org/officeDocument/2006/relationships/theme" Target="theme/theme1.xml"/><Relationship Id="rId303" Type="http://schemas.openxmlformats.org/officeDocument/2006/relationships/hyperlink" Target="http://www.alcaldiabogota.gov.co/sisjur/normas/Norma1.jsp?i=7223&amp;iu=0" TargetMode="External"/><Relationship Id="rId42" Type="http://schemas.openxmlformats.org/officeDocument/2006/relationships/hyperlink" Target="http://www.alcaldiabogota.gov.co/sisjur/normas/Norma1.jsp?i=7223" TargetMode="External"/><Relationship Id="rId84" Type="http://schemas.openxmlformats.org/officeDocument/2006/relationships/hyperlink" Target="http://www.alcaldiabogota.gov.co/sisjur/normas/Norma1.jsp?i=31244" TargetMode="External"/><Relationship Id="rId138" Type="http://schemas.openxmlformats.org/officeDocument/2006/relationships/hyperlink" Target="http://www.alcaldiabogota.gov.co/sisjur/normas/Norma1.jsp?i=36841" TargetMode="External"/><Relationship Id="rId345" Type="http://schemas.openxmlformats.org/officeDocument/2006/relationships/hyperlink" Target="http://www.alcaldiabogota.gov.co/sisjur/normas/Norma1.jsp?i=7223&amp;iu=0" TargetMode="External"/><Relationship Id="rId387" Type="http://schemas.openxmlformats.org/officeDocument/2006/relationships/hyperlink" Target="http://www.alcaldiabogota.gov.co/sisjur/normas/Norma1.jsp?i=6239&amp;iu=0" TargetMode="External"/><Relationship Id="rId191" Type="http://schemas.openxmlformats.org/officeDocument/2006/relationships/hyperlink" Target="http://www.alcaldiabogota.gov.co/sisjur/normas/Norma1.jsp?i=38668" TargetMode="External"/><Relationship Id="rId205" Type="http://schemas.openxmlformats.org/officeDocument/2006/relationships/hyperlink" Target="http://www.alcaldiabogota.gov.co/sisjur/normas/Norma1.jsp?i=5496" TargetMode="External"/><Relationship Id="rId247" Type="http://schemas.openxmlformats.org/officeDocument/2006/relationships/hyperlink" Target="http://www.alcaldiabogota.gov.co/sisjur/normas/Norma1.jsp?i=6885" TargetMode="External"/><Relationship Id="rId412" Type="http://schemas.openxmlformats.org/officeDocument/2006/relationships/hyperlink" Target="http://www.alcaldiabogota.gov.co/sisjur/normas/Norma1.jsp?i=1208&amp;iu=0" TargetMode="External"/><Relationship Id="rId107" Type="http://schemas.openxmlformats.org/officeDocument/2006/relationships/hyperlink" Target="http://www.alcaldiabogota.gov.co/sisjur/normas/Norma1.jsp?i=6239" TargetMode="External"/><Relationship Id="rId289" Type="http://schemas.openxmlformats.org/officeDocument/2006/relationships/hyperlink" Target="http://www.alcaldiabogota.gov.co/sisjur/normas/Norma1.jsp?i=7223&amp;iu=0" TargetMode="External"/><Relationship Id="rId11" Type="http://schemas.openxmlformats.org/officeDocument/2006/relationships/hyperlink" Target="http://www.alcaldiabogota.gov.co/sisjur/normas/Norma1.jsp?i=15162" TargetMode="External"/><Relationship Id="rId53" Type="http://schemas.openxmlformats.org/officeDocument/2006/relationships/hyperlink" Target="http://www.alcaldiabogota.gov.co/sisjur/normas/Norma1.jsp?i=307" TargetMode="External"/><Relationship Id="rId149" Type="http://schemas.openxmlformats.org/officeDocument/2006/relationships/hyperlink" Target="http://www.alcaldiabogota.gov.co/sisjur/normas/Norma1.jsp?i=6229" TargetMode="External"/><Relationship Id="rId314" Type="http://schemas.openxmlformats.org/officeDocument/2006/relationships/hyperlink" Target="http://www.alcaldiabogota.gov.co/sisjur/normas/Norma1.jsp?i=1208&amp;iu=0" TargetMode="External"/><Relationship Id="rId356" Type="http://schemas.openxmlformats.org/officeDocument/2006/relationships/hyperlink" Target="http://www.alcaldiabogota.gov.co/sisjur/normas/Norma1.jsp?i=7223&amp;iu=0" TargetMode="External"/><Relationship Id="rId398" Type="http://schemas.openxmlformats.org/officeDocument/2006/relationships/hyperlink" Target="http://www.alcaldiabogota.gov.co/sisjur/normas/Norma1.jsp?i=6437&amp;iu=0" TargetMode="External"/><Relationship Id="rId95" Type="http://schemas.openxmlformats.org/officeDocument/2006/relationships/hyperlink" Target="http://www.alcaldiabogota.gov.co/sisjur/normas/Norma1.jsp?i=36841" TargetMode="External"/><Relationship Id="rId160" Type="http://schemas.openxmlformats.org/officeDocument/2006/relationships/hyperlink" Target="http://www.alcaldiabogota.gov.co/sisjur/normas/Norma1.jsp?i=6832" TargetMode="External"/><Relationship Id="rId216" Type="http://schemas.openxmlformats.org/officeDocument/2006/relationships/hyperlink" Target="http://www.alcaldiabogota.gov.co/sisjur/normas/Norma1.jsp?i=22600" TargetMode="External"/><Relationship Id="rId258" Type="http://schemas.openxmlformats.org/officeDocument/2006/relationships/hyperlink" Target="http://www.alcaldiabogota.gov.co/sisjur/normas/Norma1.jsp?i=86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128</Pages>
  <Words>57389</Words>
  <Characters>315642</Characters>
  <Application>Microsoft Office Word</Application>
  <DocSecurity>0</DocSecurity>
  <Lines>2630</Lines>
  <Paragraphs>744</Paragraphs>
  <ScaleCrop>false</ScaleCrop>
  <Company/>
  <LinksUpToDate>false</LinksUpToDate>
  <CharactersWithSpaces>372287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2010-09-06T23:08:00Z</dcterms:created>
  <dcterms:modified xsi:type="dcterms:W3CDTF">2010-09-06T23:17:00Z</dcterms:modified>
</cp:coreProperties>
</file>