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617A" w:rsidRDefault="00B5617A" w:rsidP="00B5617A">
      <w:pPr>
        <w:pStyle w:val="NormalWeb"/>
        <w:spacing w:before="75" w:beforeAutospacing="0" w:after="38" w:afterAutospacing="0" w:line="360" w:lineRule="auto"/>
        <w:ind w:left="63" w:right="63"/>
        <w:jc w:val="center"/>
      </w:pPr>
      <w:r>
        <w:rPr>
          <w:rStyle w:val="Textoennegrita"/>
          <w:rFonts w:ascii="Tahoma" w:hAnsi="Tahoma" w:cs="Tahoma"/>
          <w:sz w:val="20"/>
          <w:szCs w:val="20"/>
        </w:rPr>
        <w:t> </w:t>
      </w:r>
      <w:r>
        <w:rPr>
          <w:rStyle w:val="Textoennegrita"/>
          <w:rFonts w:ascii="Tahoma" w:hAnsi="Tahoma" w:cs="Tahoma"/>
          <w:sz w:val="18"/>
          <w:szCs w:val="18"/>
        </w:rPr>
        <w:t>PROTOCOLO A LA CONVENCION SOBRE DEBERES Y DERECHOS DE LOS ESTADOS EN CASO DE LUCHAS CIVILES  </w:t>
      </w:r>
    </w:p>
    <w:p w:rsidR="00B5617A" w:rsidRDefault="00B5617A" w:rsidP="00B5617A">
      <w:pPr>
        <w:pStyle w:val="NormalWeb"/>
        <w:spacing w:before="75" w:beforeAutospacing="0" w:after="38" w:afterAutospacing="0" w:line="360" w:lineRule="auto"/>
        <w:ind w:left="63" w:right="63"/>
      </w:pPr>
      <w:r>
        <w:rPr>
          <w:rFonts w:ascii="Tahoma" w:hAnsi="Tahoma" w:cs="Tahoma"/>
          <w:sz w:val="18"/>
          <w:szCs w:val="18"/>
        </w:rPr>
        <w:t xml:space="preserve">Abierto a la firma en la Unión Panamericana  el 1º de mayo de 1957 Unión Panamericana  Washington, D.C., 1957 </w:t>
      </w:r>
    </w:p>
    <w:p w:rsidR="00B5617A" w:rsidRDefault="00B5617A" w:rsidP="00B5617A">
      <w:pPr>
        <w:pStyle w:val="NormalWeb"/>
        <w:spacing w:before="75" w:beforeAutospacing="0" w:after="38" w:afterAutospacing="0" w:line="360" w:lineRule="auto"/>
        <w:ind w:left="63" w:right="63"/>
      </w:pPr>
      <w:r>
        <w:rPr>
          <w:rFonts w:ascii="Tahoma" w:hAnsi="Tahoma" w:cs="Tahoma"/>
          <w:sz w:val="18"/>
          <w:szCs w:val="18"/>
        </w:rPr>
        <w:t xml:space="preserve"> Las Altas Partes Contratantes, deseosas de aclarar, complementar y fortalecer los principios y normas que se estipulan en la Convención sobre Deberes y Derechos de los Estado en Caso de Luchas Civiles, suscrita en La Habana el 20 de febrero de 1928, </w:t>
      </w:r>
    </w:p>
    <w:p w:rsidR="00B5617A" w:rsidRDefault="00B5617A" w:rsidP="00B5617A">
      <w:pPr>
        <w:pStyle w:val="NormalWeb"/>
        <w:spacing w:before="75" w:beforeAutospacing="0" w:after="38" w:afterAutospacing="0" w:line="360" w:lineRule="auto"/>
        <w:ind w:left="63" w:right="63"/>
      </w:pPr>
      <w:r>
        <w:rPr>
          <w:rFonts w:ascii="Tahoma" w:hAnsi="Tahoma" w:cs="Tahoma"/>
          <w:sz w:val="18"/>
          <w:szCs w:val="18"/>
        </w:rPr>
        <w:t xml:space="preserve"> Han resuelto, para llevar a efecto esos propósitos, concertar el siguiente Protocolo: </w:t>
      </w:r>
    </w:p>
    <w:p w:rsidR="00B5617A" w:rsidRDefault="00B5617A" w:rsidP="00B5617A">
      <w:pPr>
        <w:pStyle w:val="NormalWeb"/>
        <w:spacing w:before="75" w:beforeAutospacing="0" w:after="38" w:afterAutospacing="0" w:line="360" w:lineRule="auto"/>
        <w:ind w:left="63" w:right="63"/>
      </w:pPr>
      <w:r>
        <w:rPr>
          <w:rFonts w:ascii="Tahoma" w:hAnsi="Tahoma" w:cs="Tahoma"/>
          <w:sz w:val="18"/>
          <w:szCs w:val="18"/>
        </w:rPr>
        <w:t xml:space="preserve"> Artículo 1 </w:t>
      </w:r>
    </w:p>
    <w:p w:rsidR="00B5617A" w:rsidRDefault="00B5617A" w:rsidP="00B5617A">
      <w:pPr>
        <w:pStyle w:val="NormalWeb"/>
        <w:spacing w:before="75" w:beforeAutospacing="0" w:after="38" w:afterAutospacing="0" w:line="360" w:lineRule="auto"/>
        <w:ind w:left="63" w:right="63"/>
      </w:pPr>
      <w:r>
        <w:rPr>
          <w:rFonts w:ascii="Tahoma" w:hAnsi="Tahoma" w:cs="Tahoma"/>
          <w:sz w:val="18"/>
          <w:szCs w:val="18"/>
        </w:rPr>
        <w:t xml:space="preserve"> Cada Estado Contratante, en las zonas bajo su jurisdicción: </w:t>
      </w:r>
    </w:p>
    <w:p w:rsidR="00B5617A" w:rsidRDefault="00B5617A" w:rsidP="00B5617A">
      <w:pPr>
        <w:pStyle w:val="NormalWeb"/>
        <w:spacing w:before="75" w:beforeAutospacing="0" w:after="38" w:afterAutospacing="0" w:line="360" w:lineRule="auto"/>
        <w:ind w:left="63" w:right="63"/>
      </w:pPr>
      <w:r>
        <w:rPr>
          <w:rFonts w:ascii="Tahoma" w:hAnsi="Tahoma" w:cs="Tahoma"/>
          <w:sz w:val="18"/>
          <w:szCs w:val="18"/>
        </w:rPr>
        <w:t xml:space="preserve"> a. Vigilará el tráfico de armas y material de guerra que presuma destinado a iniciar, promover o ayudar una lucha civil en otro Estado americano; </w:t>
      </w:r>
    </w:p>
    <w:p w:rsidR="00B5617A" w:rsidRDefault="00B5617A" w:rsidP="00B5617A">
      <w:pPr>
        <w:pStyle w:val="NormalWeb"/>
        <w:spacing w:before="75" w:beforeAutospacing="0" w:after="38" w:afterAutospacing="0" w:line="360" w:lineRule="auto"/>
        <w:ind w:left="63" w:right="63"/>
      </w:pPr>
      <w:r>
        <w:rPr>
          <w:rFonts w:ascii="Tahoma" w:hAnsi="Tahoma" w:cs="Tahoma"/>
          <w:sz w:val="18"/>
          <w:szCs w:val="18"/>
        </w:rPr>
        <w:t xml:space="preserve"> b. Suspenderá la exportación o importación de cualquier cargamento de armas y material de guerra, durante el período de su investigación de las circunstancias que se relacionan con dicha exportación o importación, cuando tenga razones para creer que esas armas y material de guerra pueden ser destinados a iniciar, promover o ayudar una lucha civil en otro Estado americano; y </w:t>
      </w:r>
    </w:p>
    <w:p w:rsidR="00B5617A" w:rsidRDefault="00B5617A" w:rsidP="00B5617A">
      <w:pPr>
        <w:pStyle w:val="NormalWeb"/>
        <w:spacing w:before="75" w:beforeAutospacing="0" w:after="38" w:afterAutospacing="0" w:line="360" w:lineRule="auto"/>
        <w:ind w:left="63" w:right="63"/>
      </w:pPr>
      <w:r>
        <w:rPr>
          <w:rFonts w:ascii="Tahoma" w:hAnsi="Tahoma" w:cs="Tahoma"/>
          <w:sz w:val="18"/>
          <w:szCs w:val="18"/>
        </w:rPr>
        <w:t xml:space="preserve"> c. Prohibirá la exportación o importación de cualquier cargamento de armas y material de guerra destinado a iniciar, promover o ayudar una lucha civil en otro Estado americano. </w:t>
      </w:r>
    </w:p>
    <w:p w:rsidR="00B5617A" w:rsidRDefault="00B5617A" w:rsidP="00B5617A">
      <w:pPr>
        <w:pStyle w:val="NormalWeb"/>
        <w:spacing w:before="75" w:beforeAutospacing="0" w:after="38" w:afterAutospacing="0" w:line="360" w:lineRule="auto"/>
        <w:ind w:left="63" w:right="63"/>
      </w:pPr>
      <w:r>
        <w:rPr>
          <w:rFonts w:ascii="Tahoma" w:hAnsi="Tahoma" w:cs="Tahoma"/>
          <w:sz w:val="18"/>
          <w:szCs w:val="18"/>
        </w:rPr>
        <w:t xml:space="preserve"> Artículo 2 </w:t>
      </w:r>
    </w:p>
    <w:p w:rsidR="00B5617A" w:rsidRDefault="00B5617A" w:rsidP="00B5617A">
      <w:pPr>
        <w:pStyle w:val="NormalWeb"/>
        <w:spacing w:before="75" w:beforeAutospacing="0" w:after="38" w:afterAutospacing="0" w:line="360" w:lineRule="auto"/>
        <w:ind w:left="63" w:right="63"/>
      </w:pPr>
      <w:r>
        <w:rPr>
          <w:rFonts w:ascii="Tahoma" w:hAnsi="Tahoma" w:cs="Tahoma"/>
          <w:sz w:val="18"/>
          <w:szCs w:val="18"/>
        </w:rPr>
        <w:t xml:space="preserve"> Las disposiciones del artículo 1 dejarán de ser aplicables a un Estado Contratante solamente cuando éste haya reconocido la beligerancia de los rebeldes, caso en el cual se aplicarán las reglas de neutralidad. </w:t>
      </w:r>
    </w:p>
    <w:p w:rsidR="00B5617A" w:rsidRDefault="00B5617A" w:rsidP="00B5617A">
      <w:pPr>
        <w:pStyle w:val="NormalWeb"/>
        <w:spacing w:before="75" w:beforeAutospacing="0" w:after="38" w:afterAutospacing="0" w:line="360" w:lineRule="auto"/>
        <w:ind w:left="63" w:right="63"/>
      </w:pPr>
      <w:r>
        <w:rPr>
          <w:rFonts w:ascii="Tahoma" w:hAnsi="Tahoma" w:cs="Tahoma"/>
          <w:sz w:val="18"/>
          <w:szCs w:val="18"/>
        </w:rPr>
        <w:t xml:space="preserve"> Artículo 3 </w:t>
      </w:r>
    </w:p>
    <w:p w:rsidR="00B5617A" w:rsidRDefault="00B5617A" w:rsidP="00B5617A">
      <w:pPr>
        <w:pStyle w:val="NormalWeb"/>
        <w:spacing w:before="75" w:beforeAutospacing="0" w:after="38" w:afterAutospacing="0" w:line="360" w:lineRule="auto"/>
        <w:ind w:left="63" w:right="63"/>
      </w:pPr>
      <w:r>
        <w:rPr>
          <w:rFonts w:ascii="Tahoma" w:hAnsi="Tahoma" w:cs="Tahoma"/>
          <w:sz w:val="18"/>
          <w:szCs w:val="18"/>
        </w:rPr>
        <w:t xml:space="preserve"> Los términos "tráfico de armas y material de guerra", que figuran tanto en el párrafo tercero del artículo 1 de la Convención sobre Deberes y Derechos de los Estados en Caso de Luchas Civiles como en el presente Protocolo, comprenden también los vehículos terrestres, embarcaciones y aeronaves de cualquier tipo, ya sean civiles o militares. </w:t>
      </w:r>
    </w:p>
    <w:p w:rsidR="00B5617A" w:rsidRDefault="00B5617A" w:rsidP="00B5617A">
      <w:pPr>
        <w:pStyle w:val="NormalWeb"/>
        <w:spacing w:before="75" w:beforeAutospacing="0" w:after="38" w:afterAutospacing="0" w:line="360" w:lineRule="auto"/>
        <w:ind w:left="63" w:right="63"/>
      </w:pPr>
      <w:r>
        <w:rPr>
          <w:rFonts w:ascii="Tahoma" w:hAnsi="Tahoma" w:cs="Tahoma"/>
          <w:sz w:val="18"/>
          <w:szCs w:val="18"/>
        </w:rPr>
        <w:t xml:space="preserve"> Artículo 4 </w:t>
      </w:r>
    </w:p>
    <w:p w:rsidR="00B5617A" w:rsidRDefault="00B5617A" w:rsidP="00B5617A">
      <w:pPr>
        <w:pStyle w:val="NormalWeb"/>
        <w:spacing w:before="75" w:beforeAutospacing="0" w:after="38" w:afterAutospacing="0" w:line="360" w:lineRule="auto"/>
        <w:ind w:left="63" w:right="63"/>
      </w:pPr>
      <w:r>
        <w:rPr>
          <w:rFonts w:ascii="Tahoma" w:hAnsi="Tahoma" w:cs="Tahoma"/>
          <w:sz w:val="18"/>
          <w:szCs w:val="18"/>
        </w:rPr>
        <w:t xml:space="preserve"> Las disposiciones de la Convención sobre Deberes y Derechos de los Estados en Caso de Luchas Civiles referentes a "buques" o "embarcaciones" son igualmente aplicables a las aeronaves de cualquier tipo, ya sean civiles o militares. </w:t>
      </w:r>
    </w:p>
    <w:p w:rsidR="00B5617A" w:rsidRDefault="00B5617A" w:rsidP="00B5617A">
      <w:pPr>
        <w:pStyle w:val="NormalWeb"/>
        <w:spacing w:before="75" w:beforeAutospacing="0" w:after="38" w:afterAutospacing="0" w:line="360" w:lineRule="auto"/>
        <w:ind w:left="63" w:right="63"/>
      </w:pPr>
      <w:r>
        <w:rPr>
          <w:rFonts w:ascii="Tahoma" w:hAnsi="Tahoma" w:cs="Tahoma"/>
          <w:sz w:val="18"/>
          <w:szCs w:val="18"/>
        </w:rPr>
        <w:t xml:space="preserve"> Artículo 5 </w:t>
      </w:r>
    </w:p>
    <w:p w:rsidR="00B5617A" w:rsidRDefault="00B5617A" w:rsidP="00B5617A">
      <w:pPr>
        <w:pStyle w:val="NormalWeb"/>
        <w:spacing w:before="75" w:beforeAutospacing="0" w:after="38" w:afterAutospacing="0" w:line="360" w:lineRule="auto"/>
        <w:ind w:left="63" w:right="63"/>
      </w:pPr>
      <w:r>
        <w:rPr>
          <w:rFonts w:ascii="Tahoma" w:hAnsi="Tahoma" w:cs="Tahoma"/>
          <w:sz w:val="18"/>
          <w:szCs w:val="18"/>
        </w:rPr>
        <w:t xml:space="preserve"> Cada Estado Contratante, en las zonas bajo su jurisdicción y dentro de las facultades que le otorga su Constitución, empleará todos los medios adecuados para evitar que cualquier persona, nacional o extranjera, participe deliberadamente en la preparación, organización o ejecución de una empresa militar que tenga como fin iniciar, promover o ayudar una lucha civil en otro Estado Contratante, cuyo gobierno esté o no reconocido. </w:t>
      </w:r>
    </w:p>
    <w:p w:rsidR="00B5617A" w:rsidRDefault="00B5617A" w:rsidP="00B5617A">
      <w:pPr>
        <w:pStyle w:val="NormalWeb"/>
        <w:spacing w:before="75" w:beforeAutospacing="0" w:after="38" w:afterAutospacing="0" w:line="360" w:lineRule="auto"/>
        <w:ind w:left="63" w:right="63"/>
      </w:pPr>
      <w:r>
        <w:rPr>
          <w:rFonts w:ascii="Tahoma" w:hAnsi="Tahoma" w:cs="Tahoma"/>
          <w:sz w:val="18"/>
          <w:szCs w:val="18"/>
        </w:rPr>
        <w:t xml:space="preserve"> Para los fines del presente artículo la participación en la preparación, organización o ejecución de una empresa militar comprende entre otros actos: </w:t>
      </w:r>
    </w:p>
    <w:p w:rsidR="00B5617A" w:rsidRDefault="00B5617A" w:rsidP="00B5617A">
      <w:pPr>
        <w:pStyle w:val="NormalWeb"/>
        <w:spacing w:before="75" w:beforeAutospacing="0" w:after="38" w:afterAutospacing="0" w:line="360" w:lineRule="auto"/>
        <w:ind w:left="63" w:right="63"/>
      </w:pPr>
      <w:r>
        <w:rPr>
          <w:rFonts w:ascii="Tahoma" w:hAnsi="Tahoma" w:cs="Tahoma"/>
          <w:sz w:val="18"/>
          <w:szCs w:val="18"/>
        </w:rPr>
        <w:lastRenderedPageBreak/>
        <w:t xml:space="preserve"> a. la contribución, el suministro, o la provisión de armas y material de guerra; </w:t>
      </w:r>
    </w:p>
    <w:p w:rsidR="00B5617A" w:rsidRDefault="00B5617A" w:rsidP="00B5617A">
      <w:pPr>
        <w:pStyle w:val="NormalWeb"/>
        <w:spacing w:before="75" w:beforeAutospacing="0" w:after="38" w:afterAutospacing="0" w:line="360" w:lineRule="auto"/>
        <w:ind w:left="63" w:right="63"/>
      </w:pPr>
      <w:r>
        <w:rPr>
          <w:rFonts w:ascii="Tahoma" w:hAnsi="Tahoma" w:cs="Tahoma"/>
          <w:sz w:val="18"/>
          <w:szCs w:val="18"/>
        </w:rPr>
        <w:t xml:space="preserve"> b. el equipo, el adiestramiento, la reunión o el transporte de miembros de una expedición militar; o </w:t>
      </w:r>
    </w:p>
    <w:p w:rsidR="00B5617A" w:rsidRDefault="00B5617A" w:rsidP="00B5617A">
      <w:pPr>
        <w:pStyle w:val="NormalWeb"/>
        <w:spacing w:before="75" w:beforeAutospacing="0" w:after="38" w:afterAutospacing="0" w:line="360" w:lineRule="auto"/>
        <w:ind w:left="63" w:right="63"/>
      </w:pPr>
      <w:r>
        <w:rPr>
          <w:rFonts w:ascii="Tahoma" w:hAnsi="Tahoma" w:cs="Tahoma"/>
          <w:sz w:val="18"/>
          <w:szCs w:val="18"/>
        </w:rPr>
        <w:t xml:space="preserve"> c. el suministro o el recibo de dinero, a cualquier título, destinado a la empresa militar. </w:t>
      </w:r>
    </w:p>
    <w:p w:rsidR="00B5617A" w:rsidRDefault="00B5617A" w:rsidP="00B5617A">
      <w:pPr>
        <w:pStyle w:val="NormalWeb"/>
        <w:spacing w:before="75" w:beforeAutospacing="0" w:after="38" w:afterAutospacing="0" w:line="360" w:lineRule="auto"/>
        <w:ind w:left="63" w:right="63"/>
      </w:pPr>
      <w:r>
        <w:rPr>
          <w:rFonts w:ascii="Tahoma" w:hAnsi="Tahoma" w:cs="Tahoma"/>
          <w:sz w:val="18"/>
          <w:szCs w:val="18"/>
        </w:rPr>
        <w:t xml:space="preserve"> Artículo 6 </w:t>
      </w:r>
    </w:p>
    <w:p w:rsidR="00B5617A" w:rsidRDefault="00B5617A" w:rsidP="00B5617A">
      <w:pPr>
        <w:pStyle w:val="NormalWeb"/>
        <w:spacing w:before="75" w:beforeAutospacing="0" w:after="38" w:afterAutospacing="0" w:line="360" w:lineRule="auto"/>
        <w:ind w:left="63" w:right="63"/>
      </w:pPr>
      <w:r>
        <w:rPr>
          <w:rFonts w:ascii="Tahoma" w:hAnsi="Tahoma" w:cs="Tahoma"/>
          <w:sz w:val="18"/>
          <w:szCs w:val="18"/>
        </w:rPr>
        <w:t xml:space="preserve"> El presente Protocolo no afecta los compromisos adquiridos anteriormente por los Estados Contratantes en virtud de acuerdos internacionales. </w:t>
      </w:r>
    </w:p>
    <w:p w:rsidR="00B5617A" w:rsidRDefault="00B5617A" w:rsidP="00B5617A">
      <w:pPr>
        <w:pStyle w:val="NormalWeb"/>
        <w:spacing w:before="75" w:beforeAutospacing="0" w:after="38" w:afterAutospacing="0" w:line="360" w:lineRule="auto"/>
        <w:ind w:left="63" w:right="63"/>
      </w:pPr>
      <w:r>
        <w:rPr>
          <w:rFonts w:ascii="Tahoma" w:hAnsi="Tahoma" w:cs="Tahoma"/>
          <w:sz w:val="18"/>
          <w:szCs w:val="18"/>
        </w:rPr>
        <w:t xml:space="preserve"> Artículo 7 </w:t>
      </w:r>
    </w:p>
    <w:p w:rsidR="00B5617A" w:rsidRDefault="00B5617A" w:rsidP="00B5617A">
      <w:pPr>
        <w:pStyle w:val="NormalWeb"/>
        <w:spacing w:before="75" w:beforeAutospacing="0" w:after="38" w:afterAutospacing="0" w:line="360" w:lineRule="auto"/>
        <w:ind w:left="63" w:right="63"/>
      </w:pPr>
      <w:r>
        <w:rPr>
          <w:rFonts w:ascii="Tahoma" w:hAnsi="Tahoma" w:cs="Tahoma"/>
          <w:sz w:val="18"/>
          <w:szCs w:val="18"/>
        </w:rPr>
        <w:t xml:space="preserve"> El presente Protocolo queda abierto a la firma de los Estados americanos en la Unión Panamericana, y será ratificado de conformidad con sus respectivos procedimientos constitucionales. </w:t>
      </w:r>
    </w:p>
    <w:p w:rsidR="00B5617A" w:rsidRDefault="00B5617A" w:rsidP="00B5617A">
      <w:pPr>
        <w:pStyle w:val="NormalWeb"/>
        <w:spacing w:before="75" w:beforeAutospacing="0" w:after="38" w:afterAutospacing="0" w:line="360" w:lineRule="auto"/>
        <w:ind w:left="63" w:right="63"/>
      </w:pPr>
      <w:r>
        <w:rPr>
          <w:rFonts w:ascii="Tahoma" w:hAnsi="Tahoma" w:cs="Tahoma"/>
          <w:sz w:val="18"/>
          <w:szCs w:val="18"/>
        </w:rPr>
        <w:t xml:space="preserve"> Artículo 8 </w:t>
      </w:r>
    </w:p>
    <w:p w:rsidR="00B5617A" w:rsidRDefault="00B5617A" w:rsidP="00B5617A">
      <w:pPr>
        <w:pStyle w:val="NormalWeb"/>
        <w:spacing w:before="75" w:beforeAutospacing="0" w:after="38" w:afterAutospacing="0" w:line="360" w:lineRule="auto"/>
        <w:ind w:left="63" w:right="63"/>
      </w:pPr>
      <w:r>
        <w:rPr>
          <w:rFonts w:ascii="Tahoma" w:hAnsi="Tahoma" w:cs="Tahoma"/>
          <w:sz w:val="18"/>
          <w:szCs w:val="18"/>
        </w:rPr>
        <w:t xml:space="preserve"> Solamente podrán ratificar el presente Protocolo los Estados que hayan ratificado o ratifiquen la Convención sobre Deberes y Derechos de los Estados en Caso de Luchas Civiles.  El presente Protocolo entrará en vigencia entre los Estados que lo ratifiquen en el orden en que depositen sus respectivos instrumentos de ratificación. </w:t>
      </w:r>
    </w:p>
    <w:p w:rsidR="00B5617A" w:rsidRDefault="00B5617A" w:rsidP="00B5617A">
      <w:pPr>
        <w:pStyle w:val="NormalWeb"/>
        <w:spacing w:before="75" w:beforeAutospacing="0" w:after="38" w:afterAutospacing="0" w:line="360" w:lineRule="auto"/>
        <w:ind w:left="63" w:right="63"/>
      </w:pPr>
      <w:r>
        <w:rPr>
          <w:rFonts w:ascii="Tahoma" w:hAnsi="Tahoma" w:cs="Tahoma"/>
          <w:sz w:val="18"/>
          <w:szCs w:val="18"/>
        </w:rPr>
        <w:t xml:space="preserve"> Artículo 9 </w:t>
      </w:r>
    </w:p>
    <w:p w:rsidR="00B5617A" w:rsidRDefault="00B5617A" w:rsidP="00B5617A">
      <w:pPr>
        <w:pStyle w:val="NormalWeb"/>
        <w:spacing w:before="75" w:beforeAutospacing="0" w:after="38" w:afterAutospacing="0" w:line="360" w:lineRule="auto"/>
        <w:ind w:left="63" w:right="63"/>
      </w:pPr>
      <w:r>
        <w:rPr>
          <w:rFonts w:ascii="Tahoma" w:hAnsi="Tahoma" w:cs="Tahoma"/>
          <w:sz w:val="18"/>
          <w:szCs w:val="18"/>
        </w:rPr>
        <w:t xml:space="preserve"> El instrumento original del presente Protocolo, cuyos textos en español, francés y portugués son igualmente auténticos, será depositado en la Unión Panamericana, la cual enviará copias certificadas a los Gobiernos para los fines de su ratificación.  Los instrumentos de ratificación serán depositados en la Unión Panamericana y ésta notificará dicho depósito a los Estados Signatarios.  Copia certificada de este Protocolo será transmitida por la Unión Panamericana a la Secretaría General de las Naciones Unidas, para su registro. </w:t>
      </w:r>
    </w:p>
    <w:p w:rsidR="00B5617A" w:rsidRDefault="00B5617A" w:rsidP="00B5617A">
      <w:pPr>
        <w:pStyle w:val="NormalWeb"/>
        <w:spacing w:before="75" w:beforeAutospacing="0" w:after="38" w:afterAutospacing="0" w:line="360" w:lineRule="auto"/>
        <w:ind w:left="63" w:right="63"/>
      </w:pPr>
      <w:r>
        <w:rPr>
          <w:rFonts w:ascii="Tahoma" w:hAnsi="Tahoma" w:cs="Tahoma"/>
          <w:sz w:val="18"/>
          <w:szCs w:val="18"/>
        </w:rPr>
        <w:t xml:space="preserve"> Artículo 10 </w:t>
      </w:r>
    </w:p>
    <w:p w:rsidR="00B5617A" w:rsidRDefault="00B5617A" w:rsidP="00B5617A">
      <w:pPr>
        <w:pStyle w:val="NormalWeb"/>
        <w:spacing w:before="75" w:beforeAutospacing="0" w:after="38" w:afterAutospacing="0" w:line="360" w:lineRule="auto"/>
        <w:ind w:left="63" w:right="63"/>
      </w:pPr>
      <w:r>
        <w:rPr>
          <w:rFonts w:ascii="Tahoma" w:hAnsi="Tahoma" w:cs="Tahoma"/>
          <w:sz w:val="18"/>
          <w:szCs w:val="18"/>
        </w:rPr>
        <w:t xml:space="preserve"> Este Protocolo regirá indefinidamente para los Estados Contratantes.  Podrá ser denunciado por cualquiera de ellos mediante aviso anticipado de un año.  Tal denuncia será dirigida a la Unión Panamericana, que la comunicará a los demás Estados Signatarios. </w:t>
      </w:r>
    </w:p>
    <w:p w:rsidR="00B5617A" w:rsidRDefault="00B5617A" w:rsidP="00B5617A">
      <w:pPr>
        <w:pStyle w:val="NormalWeb"/>
        <w:spacing w:before="75" w:beforeAutospacing="0" w:after="38" w:afterAutospacing="0" w:line="360" w:lineRule="auto"/>
        <w:ind w:left="63" w:right="63"/>
      </w:pPr>
      <w:r>
        <w:rPr>
          <w:rFonts w:ascii="Tahoma" w:hAnsi="Tahoma" w:cs="Tahoma"/>
          <w:sz w:val="18"/>
          <w:szCs w:val="18"/>
        </w:rPr>
        <w:t xml:space="preserve"> Artículo 11 </w:t>
      </w:r>
    </w:p>
    <w:p w:rsidR="00B5617A" w:rsidRDefault="00B5617A" w:rsidP="00B5617A">
      <w:pPr>
        <w:pStyle w:val="NormalWeb"/>
        <w:spacing w:before="75" w:beforeAutospacing="0" w:after="38" w:afterAutospacing="0" w:line="360" w:lineRule="auto"/>
        <w:ind w:left="63" w:right="63"/>
      </w:pPr>
      <w:r>
        <w:rPr>
          <w:rFonts w:ascii="Tahoma" w:hAnsi="Tahoma" w:cs="Tahoma"/>
          <w:sz w:val="18"/>
          <w:szCs w:val="18"/>
        </w:rPr>
        <w:t xml:space="preserve"> Cada Estado Contratante se abstendrá de denunciar la Convención sobre Deberes y Derechos de los Estados en Caso de Luchas Civiles mientras subsista para ese Estado la vigencia del presente Protocolo. </w:t>
      </w:r>
    </w:p>
    <w:p w:rsidR="00B5617A" w:rsidRDefault="00B5617A" w:rsidP="00B5617A">
      <w:pPr>
        <w:pStyle w:val="NormalWeb"/>
        <w:spacing w:before="75" w:beforeAutospacing="0" w:after="38" w:afterAutospacing="0" w:line="360" w:lineRule="auto"/>
        <w:ind w:left="63" w:right="63"/>
      </w:pPr>
      <w:r>
        <w:rPr>
          <w:rFonts w:ascii="Tahoma" w:hAnsi="Tahoma" w:cs="Tahoma"/>
          <w:sz w:val="18"/>
          <w:szCs w:val="18"/>
        </w:rPr>
        <w:t xml:space="preserve"> EN FE DE LO CUAL, los Plenipotenciarios infrascritos, presentados sus plenos poderes, que han sido hallados en buena y debida forma, suscriben el presente Protocolo, en las fechas que aparecen al frente de sus firmas. </w:t>
      </w:r>
    </w:p>
    <w:p w:rsidR="00B5617A" w:rsidRDefault="00B5617A" w:rsidP="00B5617A">
      <w:pPr>
        <w:pStyle w:val="NormalWeb"/>
        <w:spacing w:before="75" w:beforeAutospacing="0" w:after="38" w:afterAutospacing="0" w:line="360" w:lineRule="auto"/>
        <w:ind w:left="63" w:right="63"/>
        <w:jc w:val="center"/>
      </w:pPr>
      <w:hyperlink r:id="rId4" w:history="1">
        <w:r>
          <w:rPr>
            <w:rStyle w:val="Textoennegrita"/>
            <w:rFonts w:ascii="Tahoma" w:hAnsi="Tahoma" w:cs="Tahoma"/>
            <w:color w:val="4A61AD"/>
            <w:sz w:val="18"/>
            <w:szCs w:val="18"/>
          </w:rPr>
          <w:t>ESTADO DE FIRMAS Y RATIFICACIONES</w:t>
        </w:r>
      </w:hyperlink>
      <w:r>
        <w:rPr>
          <w:rFonts w:ascii="Tahoma" w:hAnsi="Tahoma" w:cs="Tahoma"/>
          <w:sz w:val="18"/>
          <w:szCs w:val="18"/>
        </w:rPr>
        <w:t xml:space="preserve"> </w:t>
      </w:r>
    </w:p>
    <w:p w:rsidR="00033CD0" w:rsidRDefault="00B5617A">
      <w:r w:rsidRPr="00B5617A">
        <w:t>http://www.oas.org/juridico/spanish/tratados/c-14.html</w:t>
      </w:r>
    </w:p>
    <w:sectPr w:rsidR="00033CD0" w:rsidSect="00033CD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202B67"/>
    <w:rsid w:val="00033CD0"/>
    <w:rsid w:val="00202B67"/>
    <w:rsid w:val="00622087"/>
    <w:rsid w:val="00835005"/>
    <w:rsid w:val="00B5617A"/>
    <w:rsid w:val="00D54394"/>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kern w:val="16"/>
        <w:sz w:val="24"/>
        <w:szCs w:val="22"/>
        <w:lang w:val="es-ES" w:eastAsia="en-US" w:bidi="ar-SA"/>
      </w:rPr>
    </w:rPrDefault>
    <w:pPrDefault>
      <w:pPr>
        <w:spacing w:after="24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3CD0"/>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B5617A"/>
    <w:pPr>
      <w:spacing w:before="100" w:beforeAutospacing="1" w:after="100" w:afterAutospacing="1"/>
      <w:jc w:val="left"/>
    </w:pPr>
    <w:rPr>
      <w:rFonts w:eastAsia="Times New Roman" w:cs="Times New Roman"/>
      <w:kern w:val="0"/>
      <w:szCs w:val="24"/>
      <w:lang w:eastAsia="es-ES"/>
    </w:rPr>
  </w:style>
  <w:style w:type="character" w:styleId="Textoennegrita">
    <w:name w:val="Strong"/>
    <w:basedOn w:val="Fuentedeprrafopredeter"/>
    <w:uiPriority w:val="22"/>
    <w:qFormat/>
    <w:rsid w:val="00B5617A"/>
    <w:rPr>
      <w:b/>
      <w:bCs/>
    </w:rPr>
  </w:style>
</w:styles>
</file>

<file path=word/webSettings.xml><?xml version="1.0" encoding="utf-8"?>
<w:webSettings xmlns:r="http://schemas.openxmlformats.org/officeDocument/2006/relationships" xmlns:w="http://schemas.openxmlformats.org/wordprocessingml/2006/main">
  <w:divs>
    <w:div w:id="1656059888">
      <w:bodyDiv w:val="1"/>
      <w:marLeft w:val="0"/>
      <w:marRight w:val="0"/>
      <w:marTop w:val="0"/>
      <w:marBottom w:val="0"/>
      <w:divBdr>
        <w:top w:val="none" w:sz="0" w:space="0" w:color="auto"/>
        <w:left w:val="none" w:sz="0" w:space="0" w:color="auto"/>
        <w:bottom w:val="none" w:sz="0" w:space="0" w:color="auto"/>
        <w:right w:val="none" w:sz="0" w:space="0" w:color="auto"/>
      </w:divBdr>
      <w:divsChild>
        <w:div w:id="4059540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oas.org/juridico/spanish/firmas/c-14.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791</Words>
  <Characters>4356</Characters>
  <Application>Microsoft Office Word</Application>
  <DocSecurity>0</DocSecurity>
  <Lines>36</Lines>
  <Paragraphs>10</Paragraphs>
  <ScaleCrop>false</ScaleCrop>
  <Company/>
  <LinksUpToDate>false</LinksUpToDate>
  <CharactersWithSpaces>5137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dc:description/>
  <cp:lastModifiedBy>Your User Name</cp:lastModifiedBy>
  <cp:revision>2</cp:revision>
  <dcterms:created xsi:type="dcterms:W3CDTF">2010-07-27T22:29:00Z</dcterms:created>
  <dcterms:modified xsi:type="dcterms:W3CDTF">2010-07-27T22:30:00Z</dcterms:modified>
</cp:coreProperties>
</file>