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73" w:rsidRDefault="00182A73" w:rsidP="00182A73">
      <w:pPr>
        <w:pStyle w:val="NormalWeb"/>
        <w:jc w:val="center"/>
        <w:rPr>
          <w:rFonts w:ascii="Arial" w:hAnsi="Arial" w:cs="Arial"/>
          <w:b/>
          <w:bCs/>
        </w:rPr>
      </w:pPr>
      <w:r>
        <w:rPr>
          <w:rFonts w:ascii="Arial" w:hAnsi="Arial" w:cs="Arial"/>
          <w:b/>
          <w:bCs/>
        </w:rPr>
        <w:t>ACTO LEGISLATIVO 01 DE 2009</w:t>
      </w:r>
    </w:p>
    <w:p w:rsidR="00182A73" w:rsidRDefault="00182A73" w:rsidP="00182A73">
      <w:pPr>
        <w:pStyle w:val="NormalWeb"/>
        <w:jc w:val="center"/>
        <w:rPr>
          <w:rFonts w:ascii="Arial" w:hAnsi="Arial" w:cs="Arial"/>
          <w:b/>
          <w:bCs/>
        </w:rPr>
      </w:pPr>
      <w:r>
        <w:rPr>
          <w:rFonts w:ascii="Arial" w:hAnsi="Arial" w:cs="Arial"/>
          <w:b/>
          <w:bCs/>
        </w:rPr>
        <w:t>(</w:t>
      </w:r>
      <w:proofErr w:type="gramStart"/>
      <w:r>
        <w:rPr>
          <w:rFonts w:ascii="Arial" w:hAnsi="Arial" w:cs="Arial"/>
          <w:b/>
          <w:bCs/>
        </w:rPr>
        <w:t>julio</w:t>
      </w:r>
      <w:proofErr w:type="gramEnd"/>
      <w:r>
        <w:rPr>
          <w:rFonts w:ascii="Arial" w:hAnsi="Arial" w:cs="Arial"/>
          <w:b/>
          <w:bCs/>
        </w:rPr>
        <w:t xml:space="preserve"> 14)</w:t>
      </w:r>
    </w:p>
    <w:p w:rsidR="00182A73" w:rsidRDefault="00182A73" w:rsidP="00182A73">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modifican y adicionan unos artículos de la Constitución Política de Colombia.</w:t>
      </w:r>
    </w:p>
    <w:p w:rsidR="00182A73" w:rsidRDefault="00182A73" w:rsidP="00182A73">
      <w:pPr>
        <w:pStyle w:val="NormalWeb"/>
        <w:jc w:val="center"/>
        <w:rPr>
          <w:rFonts w:ascii="Arial" w:hAnsi="Arial" w:cs="Arial"/>
          <w:b/>
          <w:bCs/>
        </w:rPr>
      </w:pPr>
      <w:r>
        <w:rPr>
          <w:rFonts w:ascii="Arial" w:hAnsi="Arial" w:cs="Arial"/>
          <w:b/>
          <w:bCs/>
        </w:rPr>
        <w:t>El Congreso de Colombia</w:t>
      </w:r>
    </w:p>
    <w:p w:rsidR="00182A73" w:rsidRDefault="00182A73" w:rsidP="00182A73">
      <w:pPr>
        <w:pStyle w:val="NormalWeb"/>
        <w:jc w:val="center"/>
        <w:rPr>
          <w:rFonts w:ascii="Arial" w:hAnsi="Arial" w:cs="Arial"/>
          <w:b/>
          <w:bCs/>
        </w:rPr>
      </w:pPr>
      <w:r>
        <w:rPr>
          <w:rFonts w:ascii="Arial" w:hAnsi="Arial" w:cs="Arial"/>
          <w:b/>
          <w:bCs/>
        </w:rPr>
        <w:t>DECRETA:</w:t>
      </w:r>
    </w:p>
    <w:p w:rsidR="00182A73" w:rsidRDefault="00182A73" w:rsidP="00182A73">
      <w:pPr>
        <w:pStyle w:val="NormalWeb"/>
        <w:rPr>
          <w:rFonts w:ascii="Arial" w:hAnsi="Arial" w:cs="Arial"/>
          <w:i/>
          <w:iCs/>
        </w:rPr>
      </w:pPr>
      <w:r>
        <w:rPr>
          <w:rFonts w:ascii="Arial" w:hAnsi="Arial" w:cs="Arial"/>
          <w:b/>
          <w:bCs/>
        </w:rPr>
        <w:t>Artículo </w:t>
      </w:r>
      <w:bookmarkStart w:id="0" w:name="1"/>
      <w:r>
        <w:rPr>
          <w:rFonts w:ascii="Arial" w:hAnsi="Arial" w:cs="Arial"/>
          <w:b/>
          <w:bCs/>
        </w:rPr>
        <w:t> </w:t>
      </w:r>
      <w:bookmarkEnd w:id="0"/>
      <w:r>
        <w:rPr>
          <w:rFonts w:ascii="Arial" w:hAnsi="Arial" w:cs="Arial"/>
          <w:b/>
          <w:bCs/>
        </w:rPr>
        <w:t>1 °.</w:t>
      </w:r>
      <w:r>
        <w:rPr>
          <w:rFonts w:ascii="Arial" w:hAnsi="Arial" w:cs="Arial"/>
        </w:rPr>
        <w:t xml:space="preserve"> </w:t>
      </w:r>
      <w:r>
        <w:rPr>
          <w:rFonts w:ascii="Arial" w:hAnsi="Arial" w:cs="Arial"/>
          <w:i/>
          <w:iCs/>
        </w:rPr>
        <w:t xml:space="preserve">El artículo </w:t>
      </w:r>
      <w:hyperlink r:id="rId4" w:anchor="107" w:history="1">
        <w:r>
          <w:rPr>
            <w:rStyle w:val="Hipervnculo"/>
            <w:rFonts w:ascii="Arial" w:hAnsi="Arial" w:cs="Arial"/>
            <w:i/>
            <w:iCs/>
          </w:rPr>
          <w:t>107</w:t>
        </w:r>
      </w:hyperlink>
      <w:r>
        <w:rPr>
          <w:rFonts w:ascii="Arial" w:hAnsi="Arial" w:cs="Arial"/>
          <w:i/>
          <w:iCs/>
        </w:rPr>
        <w:t xml:space="preserve"> de la Constitución Política quedará así:</w:t>
      </w:r>
    </w:p>
    <w:p w:rsidR="00182A73" w:rsidRDefault="00182A73" w:rsidP="00182A73">
      <w:pPr>
        <w:pStyle w:val="NormalWeb"/>
        <w:rPr>
          <w:rFonts w:ascii="Arial" w:hAnsi="Arial" w:cs="Arial"/>
        </w:rPr>
      </w:pPr>
      <w:r>
        <w:rPr>
          <w:rFonts w:ascii="Arial" w:hAnsi="Arial" w:cs="Arial"/>
        </w:rPr>
        <w:t>Se garantiza a todos los ciudadanos el derecho a fundar, organizar y desarrollar partidos y movimientos políticos, y la libertad de afiliarse a ellos o de retirarse.</w:t>
      </w:r>
    </w:p>
    <w:p w:rsidR="00182A73" w:rsidRDefault="00182A73" w:rsidP="00182A73">
      <w:pPr>
        <w:pStyle w:val="NormalWeb"/>
        <w:rPr>
          <w:rFonts w:ascii="Arial" w:hAnsi="Arial" w:cs="Arial"/>
        </w:rPr>
      </w:pPr>
      <w:r>
        <w:rPr>
          <w:rFonts w:ascii="Arial" w:hAnsi="Arial" w:cs="Arial"/>
        </w:rPr>
        <w:t>En ningún caso se permitirá a los ciudadanos pertenecer simultáneamente a más de un partido o movimiento político con personería jurídica.</w:t>
      </w:r>
    </w:p>
    <w:p w:rsidR="00182A73" w:rsidRDefault="00182A73" w:rsidP="00182A73">
      <w:pPr>
        <w:pStyle w:val="NormalWeb"/>
        <w:rPr>
          <w:rFonts w:ascii="Arial" w:hAnsi="Arial" w:cs="Arial"/>
        </w:rPr>
      </w:pPr>
      <w:r>
        <w:rPr>
          <w:rFonts w:ascii="Arial" w:hAnsi="Arial" w:cs="Arial"/>
        </w:rPr>
        <w:t>Los Partidos y Movimientos Políticos se organizarán democráticamente y tendrán como principios rectores la transparencia, objetividad, moralidad, la equidad de género, y el deber de presentar y divulgar sus programas políticos.</w:t>
      </w:r>
    </w:p>
    <w:p w:rsidR="00182A73" w:rsidRDefault="00182A73" w:rsidP="00182A73">
      <w:pPr>
        <w:pStyle w:val="NormalWeb"/>
        <w:rPr>
          <w:rFonts w:ascii="Arial" w:hAnsi="Arial" w:cs="Arial"/>
        </w:rPr>
      </w:pPr>
      <w:r>
        <w:rPr>
          <w:rFonts w:ascii="Arial" w:hAnsi="Arial" w:cs="Arial"/>
        </w:rPr>
        <w:t xml:space="preserve">Para la toma de sus decisiones o la escogencia de sus candidatos propios o por coalición, podrán celebrar consultas populares o internas o </w:t>
      </w:r>
      <w:proofErr w:type="spellStart"/>
      <w:r>
        <w:rPr>
          <w:rFonts w:ascii="Arial" w:hAnsi="Arial" w:cs="Arial"/>
        </w:rPr>
        <w:t>interpartidistas</w:t>
      </w:r>
      <w:proofErr w:type="spellEnd"/>
      <w:r>
        <w:rPr>
          <w:rFonts w:ascii="Arial" w:hAnsi="Arial" w:cs="Arial"/>
        </w:rPr>
        <w:t xml:space="preserve"> que coincidan o no con las elecciones a Corporaciones Públicas, de acuerdo con lo previsto en sus Estatutos y en la ley.</w:t>
      </w:r>
    </w:p>
    <w:p w:rsidR="00182A73" w:rsidRDefault="00182A73" w:rsidP="00182A73">
      <w:pPr>
        <w:pStyle w:val="NormalWeb"/>
        <w:rPr>
          <w:rFonts w:ascii="Arial" w:hAnsi="Arial" w:cs="Arial"/>
        </w:rPr>
      </w:pPr>
      <w:r>
        <w:rPr>
          <w:rFonts w:ascii="Arial" w:hAnsi="Arial" w:cs="Arial"/>
        </w:rPr>
        <w:t xml:space="preserve">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w:t>
      </w:r>
      <w:proofErr w:type="spellStart"/>
      <w:r>
        <w:rPr>
          <w:rFonts w:ascii="Arial" w:hAnsi="Arial" w:cs="Arial"/>
        </w:rPr>
        <w:t>interpartidistas</w:t>
      </w:r>
      <w:proofErr w:type="spellEnd"/>
      <w:r>
        <w:rPr>
          <w:rFonts w:ascii="Arial" w:hAnsi="Arial" w:cs="Arial"/>
        </w:rPr>
        <w:t>, no podrá inscribirse por otro en el mismo proceso electoral. El resultado de las consultas será obligatorio.</w:t>
      </w:r>
    </w:p>
    <w:p w:rsidR="00182A73" w:rsidRDefault="00182A73" w:rsidP="00182A73">
      <w:pPr>
        <w:pStyle w:val="NormalWeb"/>
        <w:rPr>
          <w:rFonts w:ascii="Arial" w:hAnsi="Arial" w:cs="Arial"/>
        </w:rPr>
      </w:pPr>
      <w:r>
        <w:rPr>
          <w:rFonts w:ascii="Arial" w:hAnsi="Arial" w:cs="Arial"/>
        </w:rPr>
        <w:t>Los directivos de los Partidos y Movimientos Políticos deberán propiciar procesos de democratización interna y el fortalecimiento del régimen de bancadas.</w:t>
      </w:r>
    </w:p>
    <w:p w:rsidR="00182A73" w:rsidRDefault="00182A73" w:rsidP="00182A73">
      <w:pPr>
        <w:pStyle w:val="NormalWeb"/>
        <w:rPr>
          <w:rFonts w:ascii="Arial" w:hAnsi="Arial" w:cs="Arial"/>
        </w:rPr>
      </w:pPr>
      <w:r>
        <w:rPr>
          <w:rFonts w:ascii="Arial" w:hAnsi="Arial" w:cs="Arial"/>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182A73" w:rsidRDefault="00182A73" w:rsidP="00182A73">
      <w:pPr>
        <w:pStyle w:val="NormalWeb"/>
        <w:rPr>
          <w:rFonts w:ascii="Arial" w:hAnsi="Arial" w:cs="Arial"/>
        </w:rPr>
      </w:pPr>
      <w:r>
        <w:rPr>
          <w:rFonts w:ascii="Arial" w:hAnsi="Arial" w:cs="Arial"/>
        </w:rPr>
        <w:lastRenderedPageBreak/>
        <w:t xml:space="preserve">Los partidos o movimientos políticos también responderán por avalar a candidatos no elegidos para cargos o Corporaciones Públicas de Elección Popular, si estos hubieran sido o fueren condenados durante el período del cargo público al cual se </w:t>
      </w:r>
      <w:proofErr w:type="spellStart"/>
      <w:r>
        <w:rPr>
          <w:rFonts w:ascii="Arial" w:hAnsi="Arial" w:cs="Arial"/>
        </w:rPr>
        <w:t>candidatizó</w:t>
      </w:r>
      <w:proofErr w:type="spellEnd"/>
      <w:r>
        <w:rPr>
          <w:rFonts w:ascii="Arial" w:hAnsi="Arial" w:cs="Arial"/>
        </w:rPr>
        <w:t>, mediante sentencia ejecutoriada en Colombia o en el exterior por delitos relacionados con la vinculación a grupos armados ilegales y actividades del narcotráfico, cometidos con anterioridad a la expedición del aval correspondiente.</w:t>
      </w:r>
    </w:p>
    <w:p w:rsidR="00182A73" w:rsidRDefault="00182A73" w:rsidP="00182A73">
      <w:pPr>
        <w:pStyle w:val="NormalWeb"/>
        <w:rPr>
          <w:rFonts w:ascii="Arial" w:hAnsi="Arial" w:cs="Arial"/>
        </w:rPr>
      </w:pPr>
      <w:r>
        <w:rPr>
          <w:rFonts w:ascii="Arial" w:hAnsi="Arial" w:cs="Aria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182A73" w:rsidRDefault="00182A73" w:rsidP="00182A73">
      <w:pPr>
        <w:pStyle w:val="NormalWeb"/>
        <w:rPr>
          <w:rFonts w:ascii="Arial" w:hAnsi="Arial" w:cs="Arial"/>
        </w:rPr>
      </w:pPr>
      <w:r>
        <w:rPr>
          <w:rFonts w:ascii="Arial" w:hAnsi="Arial" w:cs="Aria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rsidR="00182A73" w:rsidRDefault="00182A73" w:rsidP="00182A73">
      <w:pPr>
        <w:pStyle w:val="NormalWeb"/>
        <w:rPr>
          <w:rFonts w:ascii="Arial" w:hAnsi="Arial" w:cs="Arial"/>
        </w:rPr>
      </w:pPr>
      <w:r>
        <w:rPr>
          <w:rFonts w:ascii="Arial" w:hAnsi="Arial" w:cs="Arial"/>
        </w:rPr>
        <w:t>También se garantiza a las organizaciones sociales el derecho a manifestarse y a participar en eventos políticos.</w:t>
      </w:r>
    </w:p>
    <w:p w:rsidR="00182A73" w:rsidRDefault="00182A73" w:rsidP="00182A73">
      <w:pPr>
        <w:pStyle w:val="NormalWeb"/>
        <w:rPr>
          <w:rFonts w:ascii="Arial" w:hAnsi="Arial" w:cs="Arial"/>
        </w:rPr>
      </w:pPr>
      <w:r>
        <w:rPr>
          <w:rFonts w:ascii="Arial" w:hAnsi="Arial" w:cs="Arial"/>
        </w:rPr>
        <w:t>Quien siendo miembro de una corporación pública decida presentarse a la siguiente elección, por un partido distinto, deberá renunciar a la curul al menos doce (12) meses antes del primer día de inscripciones.</w:t>
      </w:r>
    </w:p>
    <w:p w:rsidR="00182A73" w:rsidRDefault="00182A73" w:rsidP="00182A73">
      <w:pPr>
        <w:pStyle w:val="NormalWeb"/>
        <w:rPr>
          <w:rFonts w:ascii="Arial" w:hAnsi="Arial" w:cs="Arial"/>
        </w:rPr>
      </w:pPr>
      <w:r>
        <w:rPr>
          <w:rFonts w:ascii="Arial" w:hAnsi="Arial" w:cs="Arial"/>
          <w:b/>
          <w:bCs/>
        </w:rPr>
        <w:t>Parágrafo transitorio 1°.</w:t>
      </w:r>
      <w:r>
        <w:rPr>
          <w:rFonts w:ascii="Arial" w:hAnsi="Arial" w:cs="Arial"/>
        </w:rPr>
        <w:t xml:space="preserve"> Sin perjuicio de lo dispuesto por el artículo 134, dentro de los dos (2) meses siguientes a la entrada en vigencia del presente acto legislativo, </w:t>
      </w:r>
      <w:proofErr w:type="spellStart"/>
      <w:r>
        <w:rPr>
          <w:rFonts w:ascii="Arial" w:hAnsi="Arial" w:cs="Arial"/>
        </w:rPr>
        <w:t>autorízase</w:t>
      </w:r>
      <w:proofErr w:type="spellEnd"/>
      <w:r>
        <w:rPr>
          <w:rFonts w:ascii="Arial" w:hAnsi="Arial" w:cs="Arial"/>
        </w:rPr>
        <w:t>, por una sola vez, a los miembros de los Cuerpos Colegiados de elección popular, o a quienes hubieren renunciado a su curul con anterioridad a la vigencia del presente acto legislativo, para inscribirse en un partido distinto al que los avaló, sin renunciar a la curul o incurrir en doble militancia.</w:t>
      </w:r>
    </w:p>
    <w:p w:rsidR="00182A73" w:rsidRDefault="00182A73" w:rsidP="00182A73">
      <w:pPr>
        <w:pStyle w:val="NormalWeb"/>
        <w:rPr>
          <w:rFonts w:ascii="Arial" w:hAnsi="Arial" w:cs="Arial"/>
        </w:rPr>
      </w:pPr>
      <w:r>
        <w:rPr>
          <w:rFonts w:ascii="Arial" w:hAnsi="Arial" w:cs="Arial"/>
          <w:b/>
          <w:bCs/>
        </w:rPr>
        <w:t>Parágrafo transitorio 2°.</w:t>
      </w:r>
      <w:r>
        <w:rPr>
          <w:rFonts w:ascii="Arial" w:hAnsi="Arial" w:cs="Arial"/>
        </w:rPr>
        <w:t xml:space="preserve"> El Gobierno Nacional o los miembros del Congreso presentarán, antes del 1° de agosto de 2009, un Proyecto de Ley Estatutaria que desarrolle este artículo.</w:t>
      </w:r>
    </w:p>
    <w:p w:rsidR="00182A73" w:rsidRDefault="00182A73" w:rsidP="00182A73">
      <w:pPr>
        <w:pStyle w:val="NormalWeb"/>
        <w:rPr>
          <w:rFonts w:ascii="Arial" w:hAnsi="Arial" w:cs="Arial"/>
        </w:rPr>
      </w:pPr>
      <w:r>
        <w:rPr>
          <w:rFonts w:ascii="Arial" w:hAnsi="Arial" w:cs="Arial"/>
        </w:rPr>
        <w:t xml:space="preserve">El Proyecto tendrá mensaje de urgencia y sesiones conjuntas y podrá ser objeto de mensaje de insistencia si fuere necesario.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w:t>
      </w:r>
    </w:p>
    <w:p w:rsidR="00182A73" w:rsidRDefault="00182A73" w:rsidP="00182A73">
      <w:pPr>
        <w:pStyle w:val="NormalWeb"/>
        <w:rPr>
          <w:rFonts w:ascii="Arial" w:hAnsi="Arial" w:cs="Arial"/>
        </w:rPr>
      </w:pPr>
      <w:r>
        <w:rPr>
          <w:rFonts w:ascii="Arial" w:hAnsi="Arial" w:cs="Arial"/>
          <w:b/>
          <w:bCs/>
        </w:rPr>
        <w:t>Artículo </w:t>
      </w:r>
      <w:bookmarkStart w:id="1" w:name="2"/>
      <w:r>
        <w:rPr>
          <w:rFonts w:ascii="Arial" w:hAnsi="Arial" w:cs="Arial"/>
          <w:b/>
          <w:bCs/>
        </w:rPr>
        <w:t> </w:t>
      </w:r>
      <w:bookmarkEnd w:id="1"/>
      <w:r>
        <w:rPr>
          <w:rFonts w:ascii="Arial" w:hAnsi="Arial" w:cs="Arial"/>
          <w:b/>
          <w:bCs/>
        </w:rPr>
        <w:t xml:space="preserve">2°. </w:t>
      </w:r>
      <w:r>
        <w:rPr>
          <w:rFonts w:ascii="Arial" w:hAnsi="Arial" w:cs="Arial"/>
        </w:rPr>
        <w:t xml:space="preserve">El artículo </w:t>
      </w:r>
      <w:hyperlink r:id="rId5" w:anchor="108" w:history="1">
        <w:r>
          <w:rPr>
            <w:rStyle w:val="Hipervnculo"/>
            <w:rFonts w:ascii="Arial" w:hAnsi="Arial" w:cs="Arial"/>
          </w:rPr>
          <w:t>108</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El Consejo Nacional Electoral reconocerá Personería Jurídica a los partidos, movimientos políticos y grupos significativos de ciudadanos. Estos podrán </w:t>
      </w:r>
      <w:r>
        <w:rPr>
          <w:rFonts w:ascii="Arial" w:hAnsi="Arial" w:cs="Arial"/>
        </w:rPr>
        <w:lastRenderedPageBreak/>
        <w:t xml:space="preserve">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y políticas, en las cuales bastará haber obtenido representación en el Congreso. </w:t>
      </w:r>
    </w:p>
    <w:p w:rsidR="00182A73" w:rsidRDefault="00182A73" w:rsidP="00182A73">
      <w:pPr>
        <w:pStyle w:val="NormalWeb"/>
        <w:rPr>
          <w:rFonts w:ascii="Arial" w:hAnsi="Arial" w:cs="Arial"/>
        </w:rPr>
      </w:pPr>
      <w:r>
        <w:rPr>
          <w:rFonts w:ascii="Arial" w:hAnsi="Arial" w:cs="Arial"/>
        </w:rPr>
        <w:t xml:space="preserve">También será causal de pérdida de la Personería Jurídica de los partidos y movimientos políticos si estos no celebran por lo menos durante cada dos (2) años convenciones que posibiliten a sus miembros influir en la toma de las decisiones más importantes de la organización política. </w:t>
      </w:r>
    </w:p>
    <w:p w:rsidR="00182A73" w:rsidRDefault="00182A73" w:rsidP="00182A73">
      <w:pPr>
        <w:pStyle w:val="NormalWeb"/>
        <w:rPr>
          <w:rFonts w:ascii="Arial" w:hAnsi="Arial" w:cs="Arial"/>
        </w:rPr>
      </w:pPr>
      <w:r>
        <w:rPr>
          <w:rFonts w:ascii="Arial" w:hAnsi="Arial" w:cs="Arial"/>
        </w:rPr>
        <w:t xml:space="preserve">Los Partidos y Movimientos Políticos con Personería Jurídica reconocida podrán inscribir candidatos a elecciones. Dicha inscripción deberá ser avalada para los mismos efectos por el respectivo representante legal del partido o movimiento o por quien él delegue. </w:t>
      </w:r>
    </w:p>
    <w:p w:rsidR="00182A73" w:rsidRDefault="00182A73" w:rsidP="00182A73">
      <w:pPr>
        <w:pStyle w:val="NormalWeb"/>
        <w:rPr>
          <w:rFonts w:ascii="Arial" w:hAnsi="Arial" w:cs="Arial"/>
        </w:rPr>
      </w:pPr>
      <w:r>
        <w:rPr>
          <w:rFonts w:ascii="Arial" w:hAnsi="Arial" w:cs="Arial"/>
        </w:rPr>
        <w:t xml:space="preserve">Los movimientos sociales y grupos significativos de ciudadanos también podrán inscribir candidatos. </w:t>
      </w:r>
    </w:p>
    <w:p w:rsidR="00182A73" w:rsidRDefault="00182A73" w:rsidP="00182A73">
      <w:pPr>
        <w:pStyle w:val="NormalWeb"/>
        <w:rPr>
          <w:rFonts w:ascii="Arial" w:hAnsi="Arial" w:cs="Arial"/>
        </w:rPr>
      </w:pPr>
      <w:r>
        <w:rPr>
          <w:rFonts w:ascii="Arial" w:hAnsi="Arial" w:cs="Arial"/>
        </w:rPr>
        <w:t xml:space="preserve">Toda inscripción de candidato incurso en causal de inhabilidad, será revocada por el Consejo Nacional Electoral con respeto al debido proceso. </w:t>
      </w:r>
    </w:p>
    <w:p w:rsidR="00182A73" w:rsidRDefault="00182A73" w:rsidP="00182A73">
      <w:pPr>
        <w:pStyle w:val="NormalWeb"/>
        <w:rPr>
          <w:rFonts w:ascii="Arial" w:hAnsi="Arial" w:cs="Arial"/>
        </w:rPr>
      </w:pPr>
      <w:r>
        <w:rPr>
          <w:rFonts w:ascii="Arial" w:hAnsi="Arial" w:cs="Arial"/>
        </w:rPr>
        <w:t xml:space="preserve">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 </w:t>
      </w:r>
    </w:p>
    <w:p w:rsidR="00182A73" w:rsidRDefault="00182A73" w:rsidP="00182A73">
      <w:pPr>
        <w:pStyle w:val="NormalWeb"/>
        <w:rPr>
          <w:rFonts w:ascii="Arial" w:hAnsi="Arial" w:cs="Arial"/>
        </w:rPr>
      </w:pPr>
      <w:r>
        <w:rPr>
          <w:rFonts w:ascii="Arial" w:hAnsi="Arial" w:cs="Arial"/>
        </w:rPr>
        <w:t xml:space="preserve">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 </w:t>
      </w:r>
    </w:p>
    <w:p w:rsidR="00182A73" w:rsidRDefault="00182A73" w:rsidP="00182A73">
      <w:pPr>
        <w:pStyle w:val="NormalWeb"/>
        <w:rPr>
          <w:rFonts w:ascii="Arial" w:hAnsi="Arial" w:cs="Arial"/>
        </w:rPr>
      </w:pPr>
      <w:r>
        <w:rPr>
          <w:rFonts w:ascii="Arial" w:hAnsi="Arial" w:cs="Arial"/>
        </w:rPr>
        <w:t xml:space="preserve">Los Partidos y Movimientos Políticos que habiendo obtenido su Personería Jurídica como producto de la circunscripción especial de minorías étnicas podrán avalar candidatos sin más requisitos que su afiliación a dicho partido, con una antelación no inferior a un año respecto a la fecha de la inscripción. </w:t>
      </w:r>
    </w:p>
    <w:p w:rsidR="00182A73" w:rsidRDefault="00182A73" w:rsidP="00182A73">
      <w:pPr>
        <w:pStyle w:val="NormalWeb"/>
        <w:rPr>
          <w:rFonts w:ascii="Arial" w:hAnsi="Arial" w:cs="Arial"/>
        </w:rPr>
      </w:pPr>
      <w:r>
        <w:rPr>
          <w:rFonts w:ascii="Arial" w:hAnsi="Arial" w:cs="Arial"/>
          <w:b/>
          <w:bCs/>
        </w:rPr>
        <w:t>Parágrafo Transitorio.</w:t>
      </w:r>
      <w:r>
        <w:rPr>
          <w:rFonts w:ascii="Arial" w:hAnsi="Arial" w:cs="Arial"/>
        </w:rPr>
        <w:t xml:space="preserve"> Para las elecciones al Congreso de la República a celebrarse en 2010, el porcentaje a que se refiere el inciso primero del presente artículo será del dos por ciento (2%), y no se requerirá del requisito de inscripción con un año de antelación del que habla el inciso 8°. </w:t>
      </w:r>
    </w:p>
    <w:p w:rsidR="00182A73" w:rsidRDefault="00182A73" w:rsidP="00182A73">
      <w:pPr>
        <w:pStyle w:val="NormalWeb"/>
        <w:rPr>
          <w:rFonts w:ascii="Arial" w:hAnsi="Arial" w:cs="Arial"/>
        </w:rPr>
      </w:pPr>
      <w:r>
        <w:rPr>
          <w:rFonts w:ascii="Arial" w:hAnsi="Arial" w:cs="Arial"/>
          <w:b/>
          <w:bCs/>
        </w:rPr>
        <w:t>Artículo </w:t>
      </w:r>
      <w:bookmarkStart w:id="2" w:name="3"/>
      <w:r>
        <w:rPr>
          <w:rFonts w:ascii="Arial" w:hAnsi="Arial" w:cs="Arial"/>
          <w:b/>
          <w:bCs/>
        </w:rPr>
        <w:t> </w:t>
      </w:r>
      <w:bookmarkEnd w:id="2"/>
      <w:r>
        <w:rPr>
          <w:rFonts w:ascii="Arial" w:hAnsi="Arial" w:cs="Arial"/>
          <w:b/>
          <w:bCs/>
        </w:rPr>
        <w:t xml:space="preserve">3°. </w:t>
      </w:r>
      <w:r>
        <w:rPr>
          <w:rFonts w:ascii="Arial" w:hAnsi="Arial" w:cs="Arial"/>
        </w:rPr>
        <w:t xml:space="preserve">El artículo </w:t>
      </w:r>
      <w:hyperlink r:id="rId6" w:anchor="109" w:history="1">
        <w:r>
          <w:rPr>
            <w:rStyle w:val="Hipervnculo"/>
            <w:rFonts w:ascii="Arial" w:hAnsi="Arial" w:cs="Arial"/>
          </w:rPr>
          <w:t>109</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lastRenderedPageBreak/>
        <w:t xml:space="preserve">El Estado concurrirá a la financiación política y electoral de los Partidos y Movimientos Políticos con personería jurídica, de conformidad con la ley. </w:t>
      </w:r>
    </w:p>
    <w:p w:rsidR="00182A73" w:rsidRDefault="00182A73" w:rsidP="00182A73">
      <w:pPr>
        <w:pStyle w:val="NormalWeb"/>
        <w:rPr>
          <w:rFonts w:ascii="Arial" w:hAnsi="Arial" w:cs="Arial"/>
        </w:rPr>
      </w:pPr>
      <w:r>
        <w:rPr>
          <w:rFonts w:ascii="Arial" w:hAnsi="Arial" w:cs="Arial"/>
        </w:rPr>
        <w:t xml:space="preserve">Las campañas electorales que adelanten los candidatos avalados por partidos y movimientos con Personería Jurídica o por grupos significativos de ciudadanos, serán financiadas parcialmente con recursos estatales. </w:t>
      </w:r>
    </w:p>
    <w:p w:rsidR="00182A73" w:rsidRDefault="00182A73" w:rsidP="00182A73">
      <w:pPr>
        <w:pStyle w:val="NormalWeb"/>
        <w:rPr>
          <w:rFonts w:ascii="Arial" w:hAnsi="Arial" w:cs="Arial"/>
        </w:rPr>
      </w:pPr>
      <w:r>
        <w:rPr>
          <w:rFonts w:ascii="Arial" w:hAnsi="Arial" w:cs="Arial"/>
        </w:rPr>
        <w:t xml:space="preserve">La ley determinará el porcentaje de votación necesario para tener derecho a dicha financiación. </w:t>
      </w:r>
    </w:p>
    <w:p w:rsidR="00182A73" w:rsidRDefault="00182A73" w:rsidP="00182A73">
      <w:pPr>
        <w:pStyle w:val="NormalWeb"/>
        <w:rPr>
          <w:rFonts w:ascii="Arial" w:hAnsi="Arial" w:cs="Arial"/>
        </w:rPr>
      </w:pPr>
      <w:r>
        <w:rPr>
          <w:rFonts w:ascii="Arial" w:hAnsi="Arial" w:cs="Arial"/>
        </w:rPr>
        <w:t xml:space="preserve">También se podrá limitar el monto de los gastos que los partidos, movimientos, grupos significativos de ciudadanos o candidatos puedan realizar en las campañas electorales, así como la máxima cuantía de las contribuciones privadas, de acuerdo con la ley. </w:t>
      </w:r>
    </w:p>
    <w:p w:rsidR="00182A73" w:rsidRDefault="00182A73" w:rsidP="00182A73">
      <w:pPr>
        <w:pStyle w:val="NormalWeb"/>
        <w:rPr>
          <w:rFonts w:ascii="Arial" w:hAnsi="Arial" w:cs="Arial"/>
        </w:rPr>
      </w:pPr>
      <w:r>
        <w:rPr>
          <w:rFonts w:ascii="Arial" w:hAnsi="Arial" w:cs="Arial"/>
        </w:rPr>
        <w:t xml:space="preserve">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 </w:t>
      </w:r>
    </w:p>
    <w:p w:rsidR="00182A73" w:rsidRDefault="00182A73" w:rsidP="00182A73">
      <w:pPr>
        <w:pStyle w:val="NormalWeb"/>
        <w:rPr>
          <w:rFonts w:ascii="Arial" w:hAnsi="Arial" w:cs="Arial"/>
        </w:rPr>
      </w:pPr>
      <w:r>
        <w:rPr>
          <w:rFonts w:ascii="Arial" w:hAnsi="Arial" w:cs="Arial"/>
        </w:rPr>
        <w:t xml:space="preserve">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 </w:t>
      </w:r>
    </w:p>
    <w:p w:rsidR="00182A73" w:rsidRDefault="00182A73" w:rsidP="00182A73">
      <w:pPr>
        <w:pStyle w:val="NormalWeb"/>
        <w:rPr>
          <w:rFonts w:ascii="Arial" w:hAnsi="Arial" w:cs="Arial"/>
        </w:rPr>
      </w:pPr>
      <w:r>
        <w:rPr>
          <w:rFonts w:ascii="Arial" w:hAnsi="Arial" w:cs="Arial"/>
        </w:rPr>
        <w:t xml:space="preserve">Para las elecciones que se celebren a partir de la vigencia del presente acto legislativo, la violación de los topes máximos de financiación de las campañas, debidamente comprobada, será sancionada con la pérdida de investidura o del cargo. La ley reglamentará los demás efectos por la violación de este precepto. </w:t>
      </w:r>
    </w:p>
    <w:p w:rsidR="00182A73" w:rsidRDefault="00182A73" w:rsidP="00182A73">
      <w:pPr>
        <w:pStyle w:val="NormalWeb"/>
        <w:rPr>
          <w:rFonts w:ascii="Arial" w:hAnsi="Arial" w:cs="Arial"/>
        </w:rPr>
      </w:pPr>
      <w:r>
        <w:rPr>
          <w:rFonts w:ascii="Arial" w:hAnsi="Arial" w:cs="Arial"/>
        </w:rPr>
        <w:t xml:space="preserve">Los partidos, movimientos, grupos significativos de ciudadanos y candidatos deberán rendir públicamente cuentas sobre el volumen, origen y destino de sus ingresos. </w:t>
      </w:r>
    </w:p>
    <w:p w:rsidR="00182A73" w:rsidRDefault="00182A73" w:rsidP="00182A73">
      <w:pPr>
        <w:pStyle w:val="NormalWeb"/>
        <w:rPr>
          <w:rFonts w:ascii="Arial" w:hAnsi="Arial" w:cs="Arial"/>
        </w:rPr>
      </w:pPr>
      <w:r>
        <w:rPr>
          <w:rFonts w:ascii="Arial" w:hAnsi="Arial" w:cs="Arial"/>
        </w:rPr>
        <w:t xml:space="preserve">Es prohibido a los Partidos y Movimientos Políticos y a grupos significativos de ciudadanos, recibir financiación para campañas electorales, de personas naturales o jurídicas extranjeras. Ningún tipo de financiación privada podrá tener fines antidemocráticos o atentatorios del orden público. </w:t>
      </w:r>
    </w:p>
    <w:p w:rsidR="00182A73" w:rsidRDefault="00182A73" w:rsidP="00182A73">
      <w:pPr>
        <w:pStyle w:val="NormalWeb"/>
        <w:rPr>
          <w:rFonts w:ascii="Arial" w:hAnsi="Arial" w:cs="Arial"/>
        </w:rPr>
      </w:pPr>
      <w:r>
        <w:rPr>
          <w:rFonts w:ascii="Arial" w:hAnsi="Arial" w:cs="Arial"/>
          <w:b/>
          <w:bCs/>
        </w:rPr>
        <w:t>Parágrafo.</w:t>
      </w:r>
      <w:r>
        <w:rPr>
          <w:rFonts w:ascii="Arial" w:hAnsi="Arial" w:cs="Arial"/>
        </w:rPr>
        <w:t xml:space="preserve"> La financiación anual de los Partidos y Movimientos Políticos con Personería Jurídica ascenderá como mínimo a dos punto siete (2.7) veces la aportada en el año 2003, manteniendo su valor en el tiempo. </w:t>
      </w:r>
    </w:p>
    <w:p w:rsidR="00182A73" w:rsidRDefault="00182A73" w:rsidP="00182A73">
      <w:pPr>
        <w:pStyle w:val="NormalWeb"/>
        <w:rPr>
          <w:rFonts w:ascii="Arial" w:hAnsi="Arial" w:cs="Arial"/>
        </w:rPr>
      </w:pPr>
      <w:r>
        <w:rPr>
          <w:rFonts w:ascii="Arial" w:hAnsi="Arial" w:cs="Arial"/>
        </w:rPr>
        <w:t xml:space="preserve">La cuantía de la financiación de las campañas de los Partidos y Movimientos Políticos con Personería Jurídica será por lo menos tres veces la aportada en el período 1999-2002 en pesos constantes de 2003. Ello incluye el costo del transporte del día de elecciones y el costo de las franquicias de correo hoy financiadas. </w:t>
      </w:r>
    </w:p>
    <w:p w:rsidR="00182A73" w:rsidRDefault="00182A73" w:rsidP="00182A73">
      <w:pPr>
        <w:pStyle w:val="NormalWeb"/>
        <w:rPr>
          <w:rFonts w:ascii="Arial" w:hAnsi="Arial" w:cs="Arial"/>
        </w:rPr>
      </w:pPr>
      <w:r>
        <w:rPr>
          <w:rFonts w:ascii="Arial" w:hAnsi="Arial" w:cs="Arial"/>
        </w:rPr>
        <w:lastRenderedPageBreak/>
        <w:t xml:space="preserve">Las consultas de los partidos y movimientos que opten por este mecanismo recibirán financiación mediante el sistema de reposición por votos depositados, manteniendo para ello el valor en pesos constantes vigente en el momento de aprobación de este Acto Legislativo. </w:t>
      </w:r>
    </w:p>
    <w:p w:rsidR="00182A73" w:rsidRDefault="00182A73" w:rsidP="00182A73">
      <w:pPr>
        <w:pStyle w:val="NormalWeb"/>
        <w:rPr>
          <w:rFonts w:ascii="Arial" w:hAnsi="Arial" w:cs="Arial"/>
        </w:rPr>
      </w:pPr>
      <w:r>
        <w:rPr>
          <w:rFonts w:ascii="Arial" w:hAnsi="Arial" w:cs="Arial"/>
          <w:b/>
          <w:bCs/>
        </w:rPr>
        <w:t>Parágrafo transitorio.</w:t>
      </w:r>
      <w:r>
        <w:rPr>
          <w:rFonts w:ascii="Arial" w:hAnsi="Arial" w:cs="Arial"/>
        </w:rPr>
        <w:t xml:space="preserve"> El Gobierno Nacional o los miembros del Congreso presentarán, antes del 1 ° de agosto de 2009, un Proyecto de Ley Estatutaria que desarrolle este artículo. </w:t>
      </w:r>
    </w:p>
    <w:p w:rsidR="00182A73" w:rsidRDefault="00182A73" w:rsidP="00182A73">
      <w:pPr>
        <w:pStyle w:val="NormalWeb"/>
        <w:rPr>
          <w:rFonts w:ascii="Arial" w:hAnsi="Arial" w:cs="Arial"/>
        </w:rPr>
      </w:pPr>
      <w:r>
        <w:rPr>
          <w:rFonts w:ascii="Arial" w:hAnsi="Arial" w:cs="Arial"/>
        </w:rPr>
        <w:t xml:space="preserve">El proyecto tendrá mensaje de urgencia y podrá ser objeto de mensaje de insistencia si fuere necesario. Se reducen a la mitad los términos para la revisión previa de </w:t>
      </w:r>
      <w:proofErr w:type="spellStart"/>
      <w:r>
        <w:rPr>
          <w:rFonts w:ascii="Arial" w:hAnsi="Arial" w:cs="Arial"/>
        </w:rPr>
        <w:t>exequibilidad</w:t>
      </w:r>
      <w:proofErr w:type="spellEnd"/>
      <w:r>
        <w:rPr>
          <w:rFonts w:ascii="Arial" w:hAnsi="Arial" w:cs="Arial"/>
        </w:rPr>
        <w:t xml:space="preserve"> del Proyecto de Ley Estatutaria, por parte de la Corte Constitucional. </w:t>
      </w:r>
    </w:p>
    <w:p w:rsidR="00182A73" w:rsidRDefault="00182A73" w:rsidP="00182A73">
      <w:pPr>
        <w:pStyle w:val="NormalWeb"/>
        <w:rPr>
          <w:rFonts w:ascii="Arial" w:hAnsi="Arial" w:cs="Arial"/>
        </w:rPr>
      </w:pPr>
      <w:r>
        <w:rPr>
          <w:rFonts w:ascii="Arial" w:hAnsi="Arial" w:cs="Arial"/>
          <w:b/>
          <w:bCs/>
        </w:rPr>
        <w:t>Artículo </w:t>
      </w:r>
      <w:bookmarkStart w:id="3" w:name="4"/>
      <w:r>
        <w:rPr>
          <w:rFonts w:ascii="Arial" w:hAnsi="Arial" w:cs="Arial"/>
          <w:b/>
          <w:bCs/>
        </w:rPr>
        <w:t> </w:t>
      </w:r>
      <w:bookmarkEnd w:id="3"/>
      <w:r>
        <w:rPr>
          <w:rFonts w:ascii="Arial" w:hAnsi="Arial" w:cs="Arial"/>
          <w:b/>
          <w:bCs/>
        </w:rPr>
        <w:t xml:space="preserve">4°. </w:t>
      </w:r>
      <w:r>
        <w:rPr>
          <w:rFonts w:ascii="Arial" w:hAnsi="Arial" w:cs="Arial"/>
        </w:rPr>
        <w:t xml:space="preserve">El inciso final del artículo </w:t>
      </w:r>
      <w:hyperlink r:id="rId7" w:anchor="122" w:history="1">
        <w:r>
          <w:rPr>
            <w:rStyle w:val="Hipervnculo"/>
            <w:rFonts w:ascii="Arial" w:hAnsi="Arial" w:cs="Arial"/>
          </w:rPr>
          <w:t>122</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quienes hayan sido condenados por delitos relacionados con la pertenencia, promoción o financiación de grupos armados ilegales, delitos de lesa humanidad o por narcotráfico en Colombia o en el exterior.</w:t>
      </w:r>
    </w:p>
    <w:p w:rsidR="00182A73" w:rsidRDefault="00182A73" w:rsidP="00182A73">
      <w:pPr>
        <w:pStyle w:val="NormalWeb"/>
        <w:rPr>
          <w:rFonts w:ascii="Arial" w:hAnsi="Arial" w:cs="Arial"/>
        </w:rPr>
      </w:pPr>
      <w:r>
        <w:rPr>
          <w:rFonts w:ascii="Arial" w:hAnsi="Arial" w:cs="Arial"/>
        </w:rPr>
        <w:t xml:space="preserve">Tampoco quien haya dado lugar, como servidores públicos, con su conducta dolosa o gravemente culposa, así calificada por sentencia ejecutoriada, a que el Estado sea condenado a una reparación patrimonial, salvo que asuma con cargo a su patrimonio el valor del daño. </w:t>
      </w:r>
    </w:p>
    <w:p w:rsidR="00182A73" w:rsidRDefault="00182A73" w:rsidP="00182A73">
      <w:pPr>
        <w:pStyle w:val="NormalWeb"/>
        <w:rPr>
          <w:rFonts w:ascii="Arial" w:hAnsi="Arial" w:cs="Arial"/>
        </w:rPr>
      </w:pPr>
      <w:r>
        <w:rPr>
          <w:rFonts w:ascii="Arial" w:hAnsi="Arial" w:cs="Arial"/>
          <w:b/>
          <w:bCs/>
        </w:rPr>
        <w:t>Artículo </w:t>
      </w:r>
      <w:bookmarkStart w:id="4" w:name="5"/>
      <w:r>
        <w:rPr>
          <w:rFonts w:ascii="Arial" w:hAnsi="Arial" w:cs="Arial"/>
          <w:b/>
          <w:bCs/>
        </w:rPr>
        <w:t> </w:t>
      </w:r>
      <w:bookmarkEnd w:id="4"/>
      <w:r>
        <w:rPr>
          <w:rFonts w:ascii="Arial" w:hAnsi="Arial" w:cs="Arial"/>
          <w:b/>
          <w:bCs/>
        </w:rPr>
        <w:t xml:space="preserve">5°. </w:t>
      </w:r>
      <w:r>
        <w:rPr>
          <w:rFonts w:ascii="Arial" w:hAnsi="Arial" w:cs="Arial"/>
        </w:rPr>
        <w:t xml:space="preserve">El artículo </w:t>
      </w:r>
      <w:hyperlink r:id="rId8" w:anchor="133" w:history="1">
        <w:r>
          <w:rPr>
            <w:rStyle w:val="Hipervnculo"/>
            <w:rFonts w:ascii="Arial" w:hAnsi="Arial" w:cs="Arial"/>
          </w:rPr>
          <w:t>133</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Los miembros de cuerpos colegiados de elección directa representan al pueblo, y deberán actuar consultando la justicia y el bien común. El voto de sus miembros será nominal y público, excepto en los casos que determine la ley. </w:t>
      </w:r>
    </w:p>
    <w:p w:rsidR="00182A73" w:rsidRDefault="00182A73" w:rsidP="00182A73">
      <w:pPr>
        <w:pStyle w:val="NormalWeb"/>
        <w:rPr>
          <w:rFonts w:ascii="Arial" w:hAnsi="Arial" w:cs="Arial"/>
        </w:rPr>
      </w:pPr>
      <w:r>
        <w:rPr>
          <w:rFonts w:ascii="Arial" w:hAnsi="Arial" w:cs="Arial"/>
        </w:rPr>
        <w:t xml:space="preserve">El elegido es responsable políticamente ante la sociedad y frente a sus electores del cumplimiento de las obligaciones propias de su investidura. </w:t>
      </w:r>
    </w:p>
    <w:p w:rsidR="00182A73" w:rsidRDefault="00182A73" w:rsidP="00182A73">
      <w:pPr>
        <w:pStyle w:val="NormalWeb"/>
        <w:rPr>
          <w:rFonts w:ascii="Arial" w:hAnsi="Arial" w:cs="Arial"/>
        </w:rPr>
      </w:pPr>
      <w:r>
        <w:rPr>
          <w:rFonts w:ascii="Arial" w:hAnsi="Arial" w:cs="Arial"/>
          <w:b/>
          <w:bCs/>
        </w:rPr>
        <w:t>Artículo </w:t>
      </w:r>
      <w:bookmarkStart w:id="5" w:name="6"/>
      <w:r>
        <w:rPr>
          <w:rFonts w:ascii="Arial" w:hAnsi="Arial" w:cs="Arial"/>
          <w:b/>
          <w:bCs/>
        </w:rPr>
        <w:t> </w:t>
      </w:r>
      <w:bookmarkEnd w:id="5"/>
      <w:r>
        <w:rPr>
          <w:rFonts w:ascii="Arial" w:hAnsi="Arial" w:cs="Arial"/>
          <w:b/>
          <w:bCs/>
        </w:rPr>
        <w:t xml:space="preserve">6°. </w:t>
      </w:r>
      <w:r>
        <w:rPr>
          <w:rFonts w:ascii="Arial" w:hAnsi="Arial" w:cs="Arial"/>
        </w:rPr>
        <w:t xml:space="preserve">El artículo </w:t>
      </w:r>
      <w:hyperlink r:id="rId9" w:anchor="134" w:history="1">
        <w:r>
          <w:rPr>
            <w:rStyle w:val="Hipervnculo"/>
            <w:rFonts w:ascii="Arial" w:hAnsi="Arial" w:cs="Arial"/>
          </w:rPr>
          <w:t>134</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Los miembros de las Corporaciones Públicas de elección popular no tendrán suplentes. Solo podrán ser reemplazados en caso de muerte, incapacidad física absoluta para el ejercicio del cargo, declaración de nulidad de la elección, renuncia justificada, y aceptada por la respectiva Corporación, sanción disciplinaria consistente en destitución, pérdida de investidura, condena penal o medida de aseguramiento por delitos distintos a las relacionadas con pertenencia, promoción o financiación a/o por grupos armados ilegales, de narcotráfico, delitos contra los mecanismos de participación democrática o de </w:t>
      </w:r>
      <w:r>
        <w:rPr>
          <w:rFonts w:ascii="Arial" w:hAnsi="Arial" w:cs="Arial"/>
        </w:rPr>
        <w:lastRenderedPageBreak/>
        <w:t xml:space="preserve">lesa humanidad o cuando el miembro de una Corporación pública decida presentarse por un partido distinto según lo planteado en el Parágrafo Transitorio 1° del artículo 107 de la Constitución Política. </w:t>
      </w:r>
    </w:p>
    <w:p w:rsidR="00182A73" w:rsidRDefault="00182A73" w:rsidP="00182A73">
      <w:pPr>
        <w:pStyle w:val="NormalWeb"/>
        <w:rPr>
          <w:rFonts w:ascii="Arial" w:hAnsi="Arial" w:cs="Arial"/>
        </w:rPr>
      </w:pPr>
      <w:r>
        <w:rPr>
          <w:rFonts w:ascii="Arial" w:hAnsi="Arial" w:cs="Arial"/>
        </w:rPr>
        <w:t xml:space="preserve">En tales casos, el titular será reemplazado por el candidato no elegido que, según el orden de inscripción o votación obtenida, le siga en forma sucesiva y descendente en la misma lista electoral. </w:t>
      </w:r>
    </w:p>
    <w:p w:rsidR="00182A73" w:rsidRDefault="00182A73" w:rsidP="00182A73">
      <w:pPr>
        <w:pStyle w:val="NormalWeb"/>
        <w:rPr>
          <w:rFonts w:ascii="Arial" w:hAnsi="Arial" w:cs="Arial"/>
        </w:rPr>
      </w:pPr>
      <w:r>
        <w:rPr>
          <w:rFonts w:ascii="Arial" w:hAnsi="Arial" w:cs="Arial"/>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por delitos relacionados con la pertenencia, promoción o financiación a/o por grupos armados ilegales, de narcotráfico o delitos de lesa humanidad. La sentencia condenatoria producirá como efecto la pérdida definitiva de la curul, para el partido al que pertenezca el miembro de la Corporación Pública. </w:t>
      </w:r>
    </w:p>
    <w:p w:rsidR="00182A73" w:rsidRDefault="00182A73" w:rsidP="00182A73">
      <w:pPr>
        <w:pStyle w:val="NormalWeb"/>
        <w:rPr>
          <w:rFonts w:ascii="Arial" w:hAnsi="Arial" w:cs="Arial"/>
        </w:rPr>
      </w:pPr>
      <w:r>
        <w:rPr>
          <w:rFonts w:ascii="Arial" w:hAnsi="Arial" w:cs="Arial"/>
        </w:rPr>
        <w:t xml:space="preserve">No habrá faltas temporales, salvo cuando las mujeres, por razón de licencia de maternidad deban ausentarse del cargo. La renuncia de un miembro de corporación pública de elección popular, cuando se le haya iniciado vinculación formal por delitos cometidos en Colombia o en el exterior, relacionados con pertenencia, promoción o financiación a/o por grupos armados ilegales, de narcotráfico o delitos contra los mecanismos de participación democrática o de lesa humanidad, generará la pérdida de su calidad de congresista, diputado, concejal o edil, y no producirá como efecto el ingreso de quien corresponda en la lista. Las faltas temporales no darán lugar a reemplazos. </w:t>
      </w:r>
    </w:p>
    <w:p w:rsidR="00182A73" w:rsidRDefault="00182A73" w:rsidP="00182A73">
      <w:pPr>
        <w:pStyle w:val="NormalWeb"/>
        <w:rPr>
          <w:rFonts w:ascii="Arial" w:hAnsi="Arial" w:cs="Arial"/>
        </w:rPr>
      </w:pPr>
      <w:r>
        <w:rPr>
          <w:rFonts w:ascii="Arial" w:hAnsi="Arial" w:cs="Arial"/>
        </w:rPr>
        <w:t xml:space="preserve">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 </w:t>
      </w:r>
    </w:p>
    <w:p w:rsidR="00182A73" w:rsidRDefault="00182A73" w:rsidP="00182A73">
      <w:pPr>
        <w:pStyle w:val="NormalWeb"/>
        <w:rPr>
          <w:rFonts w:ascii="Arial" w:hAnsi="Arial" w:cs="Arial"/>
        </w:rPr>
      </w:pPr>
      <w:r>
        <w:rPr>
          <w:rFonts w:ascii="Arial" w:hAnsi="Arial" w:cs="Arial"/>
        </w:rPr>
        <w:t xml:space="preserve">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período. </w:t>
      </w:r>
    </w:p>
    <w:p w:rsidR="00182A73" w:rsidRDefault="00182A73" w:rsidP="00182A73">
      <w:pPr>
        <w:pStyle w:val="NormalWeb"/>
        <w:rPr>
          <w:rFonts w:ascii="Arial" w:hAnsi="Arial" w:cs="Arial"/>
        </w:rPr>
      </w:pPr>
      <w:r>
        <w:rPr>
          <w:rFonts w:ascii="Arial" w:hAnsi="Arial" w:cs="Arial"/>
          <w:b/>
          <w:bCs/>
        </w:rPr>
        <w:t>Parágrafo Transitorio.</w:t>
      </w:r>
      <w:r>
        <w:rPr>
          <w:rFonts w:ascii="Arial" w:hAnsi="Arial" w:cs="Arial"/>
        </w:rPr>
        <w:t xml:space="preserve"> El régimen de reemplazos establecido en el presente artículo se aplicará para las investigaciones judiciales que se inicien a partir de la vigencia del presente acto legislativo. </w:t>
      </w:r>
    </w:p>
    <w:p w:rsidR="00182A73" w:rsidRDefault="00182A73" w:rsidP="00182A73">
      <w:pPr>
        <w:pStyle w:val="NormalWeb"/>
        <w:rPr>
          <w:rFonts w:ascii="Arial" w:hAnsi="Arial" w:cs="Arial"/>
        </w:rPr>
      </w:pPr>
      <w:r>
        <w:rPr>
          <w:rFonts w:ascii="Arial" w:hAnsi="Arial" w:cs="Arial"/>
          <w:b/>
          <w:bCs/>
        </w:rPr>
        <w:t>Artículo </w:t>
      </w:r>
      <w:bookmarkStart w:id="6" w:name="7"/>
      <w:r>
        <w:rPr>
          <w:rFonts w:ascii="Arial" w:hAnsi="Arial" w:cs="Arial"/>
          <w:b/>
          <w:bCs/>
        </w:rPr>
        <w:t> </w:t>
      </w:r>
      <w:bookmarkEnd w:id="6"/>
      <w:r>
        <w:rPr>
          <w:rFonts w:ascii="Arial" w:hAnsi="Arial" w:cs="Arial"/>
          <w:b/>
          <w:bCs/>
        </w:rPr>
        <w:t xml:space="preserve">7°. </w:t>
      </w:r>
      <w:r>
        <w:rPr>
          <w:rFonts w:ascii="Arial" w:hAnsi="Arial" w:cs="Arial"/>
        </w:rPr>
        <w:t xml:space="preserve">El artículo </w:t>
      </w:r>
      <w:hyperlink r:id="rId10" w:anchor="144" w:history="1">
        <w:r>
          <w:rPr>
            <w:rStyle w:val="Hipervnculo"/>
            <w:rFonts w:ascii="Arial" w:hAnsi="Arial" w:cs="Arial"/>
          </w:rPr>
          <w:t>144</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"Las sesiones de las Cámaras y de sus Comisiones Permanentes serán públicas, con las limitaciones a que haya lugar conforme a su reglamento. </w:t>
      </w:r>
    </w:p>
    <w:p w:rsidR="00182A73" w:rsidRDefault="00182A73" w:rsidP="00182A73">
      <w:pPr>
        <w:pStyle w:val="NormalWeb"/>
        <w:rPr>
          <w:rFonts w:ascii="Arial" w:hAnsi="Arial" w:cs="Arial"/>
        </w:rPr>
      </w:pPr>
      <w:r>
        <w:rPr>
          <w:rFonts w:ascii="Arial" w:hAnsi="Arial" w:cs="Arial"/>
        </w:rPr>
        <w:t xml:space="preserve">El ejercicio del cabildeo será reglamentado mediante ley". </w:t>
      </w:r>
    </w:p>
    <w:p w:rsidR="00182A73" w:rsidRDefault="00182A73" w:rsidP="00182A73">
      <w:pPr>
        <w:pStyle w:val="NormalWeb"/>
        <w:rPr>
          <w:rFonts w:ascii="Arial" w:hAnsi="Arial" w:cs="Arial"/>
        </w:rPr>
      </w:pPr>
      <w:r>
        <w:rPr>
          <w:rFonts w:ascii="Arial" w:hAnsi="Arial" w:cs="Arial"/>
          <w:b/>
          <w:bCs/>
        </w:rPr>
        <w:lastRenderedPageBreak/>
        <w:t>Artículo </w:t>
      </w:r>
      <w:bookmarkStart w:id="7" w:name="8"/>
      <w:r>
        <w:rPr>
          <w:rFonts w:ascii="Arial" w:hAnsi="Arial" w:cs="Arial"/>
          <w:b/>
          <w:bCs/>
        </w:rPr>
        <w:t> </w:t>
      </w:r>
      <w:bookmarkEnd w:id="7"/>
      <w:r>
        <w:rPr>
          <w:rFonts w:ascii="Arial" w:hAnsi="Arial" w:cs="Arial"/>
          <w:b/>
          <w:bCs/>
        </w:rPr>
        <w:t>8°. </w:t>
      </w:r>
      <w:r>
        <w:rPr>
          <w:rFonts w:ascii="Arial" w:hAnsi="Arial" w:cs="Arial"/>
        </w:rPr>
        <w:t> </w:t>
      </w:r>
      <w:r>
        <w:rPr>
          <w:rStyle w:val="Textoennegrita"/>
          <w:rFonts w:ascii="Arial" w:hAnsi="Arial" w:cs="Arial"/>
        </w:rPr>
        <w:t xml:space="preserve">Corregido un yerro mediante el Decreto Nacional </w:t>
      </w:r>
      <w:hyperlink r:id="rId11" w:anchor="0" w:history="1">
        <w:r>
          <w:rPr>
            <w:rStyle w:val="Hipervnculo"/>
            <w:rFonts w:ascii="Arial" w:hAnsi="Arial" w:cs="Arial"/>
          </w:rPr>
          <w:t>3259</w:t>
        </w:r>
      </w:hyperlink>
      <w:r>
        <w:rPr>
          <w:rStyle w:val="Textoennegrita"/>
          <w:rFonts w:ascii="Arial" w:hAnsi="Arial" w:cs="Arial"/>
        </w:rPr>
        <w:t xml:space="preserve"> de 2009</w:t>
      </w:r>
      <w:r>
        <w:rPr>
          <w:rFonts w:ascii="Arial" w:hAnsi="Arial" w:cs="Arial"/>
        </w:rPr>
        <w:t xml:space="preserve">. El artículo </w:t>
      </w:r>
      <w:hyperlink r:id="rId12" w:anchor="237" w:history="1">
        <w:r>
          <w:rPr>
            <w:rStyle w:val="Hipervnculo"/>
            <w:rFonts w:ascii="Arial" w:hAnsi="Arial" w:cs="Arial"/>
          </w:rPr>
          <w:t>237</w:t>
        </w:r>
      </w:hyperlink>
      <w:r>
        <w:rPr>
          <w:rFonts w:ascii="Arial" w:hAnsi="Arial" w:cs="Arial"/>
        </w:rPr>
        <w:t xml:space="preserve"> de la Constitución Política tendrá un nuevo numeral, así: </w:t>
      </w:r>
    </w:p>
    <w:p w:rsidR="00182A73" w:rsidRDefault="00182A73" w:rsidP="00182A73">
      <w:pPr>
        <w:pStyle w:val="NormalWeb"/>
        <w:rPr>
          <w:rFonts w:ascii="Arial" w:hAnsi="Arial" w:cs="Arial"/>
        </w:rPr>
      </w:pPr>
      <w:r>
        <w:rPr>
          <w:rFonts w:ascii="Arial" w:hAnsi="Arial" w:cs="Arial"/>
        </w:rPr>
        <w:t xml:space="preserve">6. "Conocer de la acción de nulidad electoral con sujeción a las reglas de competencia establecidas en la ley. </w:t>
      </w:r>
    </w:p>
    <w:p w:rsidR="00182A73" w:rsidRDefault="00182A73" w:rsidP="00182A73">
      <w:pPr>
        <w:pStyle w:val="NormalWeb"/>
        <w:rPr>
          <w:rFonts w:ascii="Arial" w:hAnsi="Arial" w:cs="Arial"/>
        </w:rPr>
      </w:pPr>
      <w:r>
        <w:rPr>
          <w:rFonts w:ascii="Arial" w:hAnsi="Arial" w:cs="Arial"/>
          <w:b/>
          <w:bCs/>
        </w:rPr>
        <w:t>Parágrafo.</w:t>
      </w:r>
      <w:r>
        <w:rPr>
          <w:rFonts w:ascii="Arial" w:hAnsi="Arial" w:cs="Arial"/>
        </w:rPr>
        <w:t xml:space="preserve"> Para ejercer el Contencioso Electoral ante la Jurisdicción Administrativa contra el acto de elección de carácter popular cuando la demanda se fundamente en causales de nulidad por irregularidades en el proceso de votación y en el escrutinio, es requisito de </w:t>
      </w:r>
      <w:proofErr w:type="spellStart"/>
      <w:r>
        <w:rPr>
          <w:rFonts w:ascii="Arial" w:hAnsi="Arial" w:cs="Arial"/>
        </w:rPr>
        <w:t>procedibilidad</w:t>
      </w:r>
      <w:proofErr w:type="spellEnd"/>
      <w:r>
        <w:rPr>
          <w:rFonts w:ascii="Arial" w:hAnsi="Arial" w:cs="Arial"/>
        </w:rPr>
        <w:t xml:space="preserve"> someterlas, antes de la declaratoria de elección, a examen de la autoridad administrativa correspondiente, que encabeza el Consejo Nacional Electoral". </w:t>
      </w:r>
    </w:p>
    <w:p w:rsidR="00182A73" w:rsidRDefault="00182A73" w:rsidP="00182A73">
      <w:pPr>
        <w:pStyle w:val="NormalWeb"/>
        <w:rPr>
          <w:rFonts w:ascii="Arial" w:hAnsi="Arial" w:cs="Arial"/>
        </w:rPr>
      </w:pPr>
      <w:r>
        <w:rPr>
          <w:rFonts w:ascii="Arial" w:hAnsi="Arial" w:cs="Arial"/>
          <w:b/>
          <w:bCs/>
        </w:rPr>
        <w:t>Artículo </w:t>
      </w:r>
      <w:bookmarkStart w:id="8" w:name="9"/>
      <w:r>
        <w:rPr>
          <w:rFonts w:ascii="Arial" w:hAnsi="Arial" w:cs="Arial"/>
          <w:b/>
          <w:bCs/>
        </w:rPr>
        <w:t> </w:t>
      </w:r>
      <w:bookmarkEnd w:id="8"/>
      <w:r>
        <w:rPr>
          <w:rFonts w:ascii="Arial" w:hAnsi="Arial" w:cs="Arial"/>
          <w:b/>
          <w:bCs/>
        </w:rPr>
        <w:t xml:space="preserve">9°. </w:t>
      </w:r>
      <w:r>
        <w:rPr>
          <w:rFonts w:ascii="Arial" w:hAnsi="Arial" w:cs="Arial"/>
        </w:rPr>
        <w:t xml:space="preserve">El parágrafo 1° del artículo </w:t>
      </w:r>
      <w:hyperlink r:id="rId13" w:anchor="258" w:history="1">
        <w:r>
          <w:rPr>
            <w:rStyle w:val="Hipervnculo"/>
            <w:rFonts w:ascii="Arial" w:hAnsi="Arial" w:cs="Arial"/>
          </w:rPr>
          <w:t>258</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w:t>
      </w:r>
      <w:r>
        <w:rPr>
          <w:rFonts w:ascii="Arial" w:hAnsi="Arial" w:cs="Arial"/>
          <w:b/>
          <w:bCs/>
        </w:rPr>
        <w:t xml:space="preserve">Parágrafo 1°. </w:t>
      </w:r>
      <w:r>
        <w:rPr>
          <w:rFonts w:ascii="Arial" w:hAnsi="Arial" w:cs="Arial"/>
        </w:rPr>
        <w:t xml:space="preserve">Deberá repetirse por una sola vez la votación para elegir miembros de una Corporación Pública, Gobernador, Alcalde o la primera vuelta en las elecciones presidenciales, cuando del total de votos válidos, los votos en blanco constituyan la mayoría. Tratándose de elecciones unipersonales no podrán presentarse los mismos candidatos, mientras en las de Corporaciones Públicas no se podrán presentar a las nuevas elecciones las listas que no hayan alcanzado el umbral". </w:t>
      </w:r>
    </w:p>
    <w:p w:rsidR="00182A73" w:rsidRDefault="00182A73" w:rsidP="00182A73">
      <w:pPr>
        <w:pStyle w:val="NormalWeb"/>
        <w:rPr>
          <w:rFonts w:ascii="Arial" w:hAnsi="Arial" w:cs="Arial"/>
        </w:rPr>
      </w:pPr>
      <w:r>
        <w:rPr>
          <w:rFonts w:ascii="Arial" w:hAnsi="Arial" w:cs="Arial"/>
          <w:b/>
          <w:bCs/>
        </w:rPr>
        <w:t>Artículo </w:t>
      </w:r>
      <w:bookmarkStart w:id="9" w:name="10"/>
      <w:r>
        <w:rPr>
          <w:rFonts w:ascii="Arial" w:hAnsi="Arial" w:cs="Arial"/>
          <w:b/>
          <w:bCs/>
        </w:rPr>
        <w:t> </w:t>
      </w:r>
      <w:bookmarkEnd w:id="9"/>
      <w:r>
        <w:rPr>
          <w:rFonts w:ascii="Arial" w:hAnsi="Arial" w:cs="Arial"/>
          <w:b/>
          <w:bCs/>
        </w:rPr>
        <w:t xml:space="preserve">10. </w:t>
      </w:r>
      <w:r>
        <w:rPr>
          <w:rFonts w:ascii="Arial" w:hAnsi="Arial" w:cs="Arial"/>
        </w:rPr>
        <w:t xml:space="preserve">El artículo </w:t>
      </w:r>
      <w:hyperlink r:id="rId14" w:anchor="261" w:history="1">
        <w:r>
          <w:rPr>
            <w:rStyle w:val="Hipervnculo"/>
            <w:rFonts w:ascii="Arial" w:hAnsi="Arial" w:cs="Arial"/>
          </w:rPr>
          <w:t>261</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"Las faltas absolutas serán suplidas por los candidatos que según el orden de inscripción, o de votación, en forma sucesiva y descendente, correspondan a la misma lista electoral, según se trate de listas cerradas o con voto preferente". </w:t>
      </w:r>
    </w:p>
    <w:p w:rsidR="00182A73" w:rsidRDefault="00182A73" w:rsidP="00182A73">
      <w:pPr>
        <w:pStyle w:val="NormalWeb"/>
        <w:rPr>
          <w:rFonts w:ascii="Arial" w:hAnsi="Arial" w:cs="Arial"/>
        </w:rPr>
      </w:pPr>
      <w:r>
        <w:rPr>
          <w:rFonts w:ascii="Arial" w:hAnsi="Arial" w:cs="Arial"/>
          <w:b/>
          <w:bCs/>
        </w:rPr>
        <w:t>Artículo </w:t>
      </w:r>
      <w:bookmarkStart w:id="10" w:name="11"/>
      <w:r>
        <w:rPr>
          <w:rFonts w:ascii="Arial" w:hAnsi="Arial" w:cs="Arial"/>
          <w:b/>
          <w:bCs/>
        </w:rPr>
        <w:t> </w:t>
      </w:r>
      <w:bookmarkEnd w:id="10"/>
      <w:r>
        <w:rPr>
          <w:rFonts w:ascii="Arial" w:hAnsi="Arial" w:cs="Arial"/>
          <w:b/>
          <w:bCs/>
        </w:rPr>
        <w:t xml:space="preserve">11. </w:t>
      </w:r>
      <w:r>
        <w:rPr>
          <w:rFonts w:ascii="Arial" w:hAnsi="Arial" w:cs="Arial"/>
        </w:rPr>
        <w:t xml:space="preserve">El artículo </w:t>
      </w:r>
      <w:hyperlink r:id="rId15" w:anchor="263" w:history="1">
        <w:r>
          <w:rPr>
            <w:rStyle w:val="Hipervnculo"/>
            <w:rFonts w:ascii="Arial" w:hAnsi="Arial" w:cs="Arial"/>
          </w:rPr>
          <w:t>263</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Para todos los procesos de elección popular, los Partidos y Movimientos Políticos presentarán listas y candidatos únicos, cuyo número de integrantes no podrá exceder el de curules o cargos a proveer en la respectiva elección. </w:t>
      </w:r>
    </w:p>
    <w:p w:rsidR="00182A73" w:rsidRDefault="00182A73" w:rsidP="00182A73">
      <w:pPr>
        <w:pStyle w:val="NormalWeb"/>
        <w:rPr>
          <w:rFonts w:ascii="Arial" w:hAnsi="Arial" w:cs="Arial"/>
        </w:rPr>
      </w:pPr>
      <w:r>
        <w:rPr>
          <w:rFonts w:ascii="Arial" w:hAnsi="Arial" w:cs="Arial"/>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Pr>
          <w:rFonts w:ascii="Arial" w:hAnsi="Arial" w:cs="Arial"/>
        </w:rPr>
        <w:t>cuociente</w:t>
      </w:r>
      <w:proofErr w:type="spellEnd"/>
      <w:r>
        <w:rPr>
          <w:rFonts w:ascii="Arial" w:hAnsi="Arial" w:cs="Arial"/>
        </w:rPr>
        <w:t xml:space="preserve"> electoral en el caso de las demás Corporaciones, conforme lo establezcan la Constitución y la ley. </w:t>
      </w:r>
    </w:p>
    <w:p w:rsidR="00182A73" w:rsidRDefault="00182A73" w:rsidP="00182A73">
      <w:pPr>
        <w:pStyle w:val="NormalWeb"/>
        <w:rPr>
          <w:rFonts w:ascii="Arial" w:hAnsi="Arial" w:cs="Arial"/>
        </w:rPr>
      </w:pPr>
      <w:r>
        <w:rPr>
          <w:rFonts w:ascii="Arial" w:hAnsi="Arial" w:cs="Arial"/>
        </w:rPr>
        <w:t xml:space="preserve">Cuando ninguna de las listas de aspirantes supere el umbral, las curules se distribuirán de acuerdo con el sistema de cifra repartidora. </w:t>
      </w:r>
    </w:p>
    <w:p w:rsidR="00182A73" w:rsidRDefault="00182A73" w:rsidP="00182A73">
      <w:pPr>
        <w:pStyle w:val="NormalWeb"/>
        <w:rPr>
          <w:rFonts w:ascii="Arial" w:hAnsi="Arial" w:cs="Arial"/>
        </w:rPr>
      </w:pPr>
      <w:r>
        <w:rPr>
          <w:rFonts w:ascii="Arial" w:hAnsi="Arial" w:cs="Arial"/>
        </w:rPr>
        <w:t xml:space="preserve">La ley reglamentará los demás efectos de esta materia. </w:t>
      </w:r>
    </w:p>
    <w:p w:rsidR="00182A73" w:rsidRDefault="00182A73" w:rsidP="00182A73">
      <w:pPr>
        <w:pStyle w:val="NormalWeb"/>
        <w:rPr>
          <w:rFonts w:ascii="Arial" w:hAnsi="Arial" w:cs="Arial"/>
        </w:rPr>
      </w:pPr>
      <w:r>
        <w:rPr>
          <w:rFonts w:ascii="Arial" w:hAnsi="Arial" w:cs="Arial"/>
        </w:rPr>
        <w:lastRenderedPageBreak/>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Pr>
          <w:rFonts w:ascii="Arial" w:hAnsi="Arial" w:cs="Arial"/>
        </w:rPr>
        <w:t>cuociente</w:t>
      </w:r>
      <w:proofErr w:type="spellEnd"/>
      <w:r>
        <w:rPr>
          <w:rFonts w:ascii="Arial" w:hAnsi="Arial" w:cs="Arial"/>
        </w:rPr>
        <w:t xml:space="preserve"> electoral entre las listas que superen en votos el 30% de dicho </w:t>
      </w:r>
      <w:proofErr w:type="spellStart"/>
      <w:r>
        <w:rPr>
          <w:rFonts w:ascii="Arial" w:hAnsi="Arial" w:cs="Arial"/>
        </w:rPr>
        <w:t>cuociente</w:t>
      </w:r>
      <w:proofErr w:type="spellEnd"/>
      <w:r>
        <w:rPr>
          <w:rFonts w:ascii="Arial" w:hAnsi="Arial" w:cs="Arial"/>
        </w:rPr>
        <w:t xml:space="preserve">. </w:t>
      </w:r>
    </w:p>
    <w:p w:rsidR="00182A73" w:rsidRDefault="00182A73" w:rsidP="00182A73">
      <w:pPr>
        <w:pStyle w:val="NormalWeb"/>
        <w:rPr>
          <w:rFonts w:ascii="Arial" w:hAnsi="Arial" w:cs="Arial"/>
        </w:rPr>
      </w:pPr>
      <w:r>
        <w:rPr>
          <w:rFonts w:ascii="Arial" w:hAnsi="Arial" w:cs="Arial"/>
          <w:b/>
          <w:bCs/>
        </w:rPr>
        <w:t>Parágrafo Transitorio.</w:t>
      </w:r>
      <w:r>
        <w:rPr>
          <w:rFonts w:ascii="Arial" w:hAnsi="Arial" w:cs="Arial"/>
        </w:rPr>
        <w:t xml:space="preserve"> Para las elecciones al Congreso de la República a celebrarse en 2010, el porcentaje a que se refiere el inciso 2° del presente artículo será del dos por ciento (2%). </w:t>
      </w:r>
    </w:p>
    <w:p w:rsidR="00182A73" w:rsidRDefault="00182A73" w:rsidP="00182A73">
      <w:pPr>
        <w:pStyle w:val="NormalWeb"/>
        <w:rPr>
          <w:rFonts w:ascii="Arial" w:hAnsi="Arial" w:cs="Arial"/>
        </w:rPr>
      </w:pPr>
      <w:r>
        <w:rPr>
          <w:rFonts w:ascii="Arial" w:hAnsi="Arial" w:cs="Arial"/>
          <w:b/>
          <w:bCs/>
        </w:rPr>
        <w:t>Artículo </w:t>
      </w:r>
      <w:bookmarkStart w:id="11" w:name="12"/>
      <w:r>
        <w:rPr>
          <w:rFonts w:ascii="Arial" w:hAnsi="Arial" w:cs="Arial"/>
          <w:b/>
          <w:bCs/>
        </w:rPr>
        <w:t> </w:t>
      </w:r>
      <w:bookmarkEnd w:id="11"/>
      <w:r>
        <w:rPr>
          <w:rFonts w:ascii="Arial" w:hAnsi="Arial" w:cs="Arial"/>
          <w:b/>
          <w:bCs/>
        </w:rPr>
        <w:t xml:space="preserve">12. </w:t>
      </w:r>
      <w:r>
        <w:rPr>
          <w:rFonts w:ascii="Arial" w:hAnsi="Arial" w:cs="Arial"/>
        </w:rPr>
        <w:t xml:space="preserve">El artículo </w:t>
      </w:r>
      <w:hyperlink r:id="rId16" w:anchor="265" w:history="1">
        <w:r>
          <w:rPr>
            <w:rStyle w:val="Hipervnculo"/>
            <w:rFonts w:ascii="Arial" w:hAnsi="Arial" w:cs="Arial"/>
          </w:rPr>
          <w:t>265</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El Consejo Nacional Electoral regulará, inspeccionará, vigilará y controlará toda la actividad electoral de los partidos y movimientos políticos, de los grupos significativos de ciudadanos, de sus representantes legales, directivos y candidatos, garantizando el cumplimiento de los principios y deberes que a ellos corresponden, y gozará de autonomía presupuestal y administrativa. Tendrá las siguientes atribuciones especiales: </w:t>
      </w:r>
    </w:p>
    <w:p w:rsidR="00182A73" w:rsidRDefault="00182A73" w:rsidP="00182A73">
      <w:pPr>
        <w:pStyle w:val="NormalWeb"/>
        <w:rPr>
          <w:rFonts w:ascii="Arial" w:hAnsi="Arial" w:cs="Arial"/>
        </w:rPr>
      </w:pPr>
      <w:r>
        <w:rPr>
          <w:rFonts w:ascii="Arial" w:hAnsi="Arial" w:cs="Arial"/>
        </w:rPr>
        <w:t xml:space="preserve">1. Ejercer la suprema inspección, vigilancia y control de la organización electoral. </w:t>
      </w:r>
    </w:p>
    <w:p w:rsidR="00182A73" w:rsidRDefault="00182A73" w:rsidP="00182A73">
      <w:pPr>
        <w:pStyle w:val="NormalWeb"/>
        <w:rPr>
          <w:rFonts w:ascii="Arial" w:hAnsi="Arial" w:cs="Arial"/>
        </w:rPr>
      </w:pPr>
      <w:r>
        <w:rPr>
          <w:rFonts w:ascii="Arial" w:hAnsi="Arial" w:cs="Arial"/>
        </w:rPr>
        <w:t xml:space="preserve">2. Dar posesión de su cargo al Registrador Nacional del Estado Civil. </w:t>
      </w:r>
    </w:p>
    <w:p w:rsidR="00182A73" w:rsidRDefault="00182A73" w:rsidP="00182A73">
      <w:pPr>
        <w:pStyle w:val="NormalWeb"/>
        <w:rPr>
          <w:rFonts w:ascii="Arial" w:hAnsi="Arial" w:cs="Arial"/>
        </w:rPr>
      </w:pPr>
      <w:r>
        <w:rPr>
          <w:rFonts w:ascii="Arial" w:hAnsi="Arial" w:cs="Arial"/>
        </w:rPr>
        <w:t>3. Conocer y decidir definitivamente los recursos que se interpongan contra las decisiones de sus delegados sobre escrutinios generales y en tales casos hacer la declaratoria de elección y expedir las credenciales correspondientes.</w:t>
      </w:r>
    </w:p>
    <w:p w:rsidR="00182A73" w:rsidRDefault="00182A73" w:rsidP="00182A73">
      <w:pPr>
        <w:pStyle w:val="NormalWeb"/>
        <w:rPr>
          <w:rFonts w:ascii="Arial" w:hAnsi="Arial" w:cs="Arial"/>
        </w:rPr>
      </w:pPr>
      <w:r>
        <w:rPr>
          <w:rFonts w:ascii="Arial" w:hAnsi="Arial" w:cs="Arial"/>
        </w:rPr>
        <w:t xml:space="preserve">4. Además, de oficio, o por solicitud, revisar escrutinios y los documentos electorales concernientes a cualquiera de las etapas del proceso administrativo de elección con el objeto de que se garantice la verdad de los resultados. </w:t>
      </w:r>
    </w:p>
    <w:p w:rsidR="00182A73" w:rsidRDefault="00182A73" w:rsidP="00182A73">
      <w:pPr>
        <w:pStyle w:val="NormalWeb"/>
        <w:rPr>
          <w:rFonts w:ascii="Arial" w:hAnsi="Arial" w:cs="Arial"/>
        </w:rPr>
      </w:pPr>
      <w:r>
        <w:rPr>
          <w:rFonts w:ascii="Arial" w:hAnsi="Arial" w:cs="Arial"/>
        </w:rPr>
        <w:t xml:space="preserve">5. Servir de cuerpo consultivo del Gobierno en materias de su competencia, presentar proyectos de acto legislativo y de ley, y recomendar proyectos de decreto. </w:t>
      </w:r>
    </w:p>
    <w:p w:rsidR="00182A73" w:rsidRDefault="00182A73" w:rsidP="00182A73">
      <w:pPr>
        <w:pStyle w:val="NormalWeb"/>
        <w:rPr>
          <w:rFonts w:ascii="Arial" w:hAnsi="Arial" w:cs="Arial"/>
        </w:rPr>
      </w:pPr>
      <w:r>
        <w:rPr>
          <w:rFonts w:ascii="Arial" w:hAnsi="Arial" w:cs="Arial"/>
        </w:rPr>
        <w:t xml:space="preserve">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 </w:t>
      </w:r>
    </w:p>
    <w:p w:rsidR="00182A73" w:rsidRDefault="00182A73" w:rsidP="00182A73">
      <w:pPr>
        <w:pStyle w:val="NormalWeb"/>
        <w:rPr>
          <w:rFonts w:ascii="Arial" w:hAnsi="Arial" w:cs="Arial"/>
        </w:rPr>
      </w:pPr>
      <w:r>
        <w:rPr>
          <w:rFonts w:ascii="Arial" w:hAnsi="Arial" w:cs="Arial"/>
        </w:rPr>
        <w:t xml:space="preserve">7. Distribuir los aportes que para el financiamiento de las campañas electorales y para asegurar el derecho de participación política de los ciudadanos, establezca la ley. </w:t>
      </w:r>
    </w:p>
    <w:p w:rsidR="00182A73" w:rsidRDefault="00182A73" w:rsidP="00182A73">
      <w:pPr>
        <w:pStyle w:val="NormalWeb"/>
        <w:rPr>
          <w:rFonts w:ascii="Arial" w:hAnsi="Arial" w:cs="Arial"/>
        </w:rPr>
      </w:pPr>
      <w:r>
        <w:rPr>
          <w:rFonts w:ascii="Arial" w:hAnsi="Arial" w:cs="Arial"/>
        </w:rPr>
        <w:t xml:space="preserve">8. Efectuar el escrutinio general de toda votación nacional, hacer la declaratoria de elección y expedir las credenciales a que haya lugar. </w:t>
      </w:r>
    </w:p>
    <w:p w:rsidR="00182A73" w:rsidRDefault="00182A73" w:rsidP="00182A73">
      <w:pPr>
        <w:pStyle w:val="NormalWeb"/>
        <w:rPr>
          <w:rFonts w:ascii="Arial" w:hAnsi="Arial" w:cs="Arial"/>
        </w:rPr>
      </w:pPr>
      <w:r>
        <w:rPr>
          <w:rFonts w:ascii="Arial" w:hAnsi="Arial" w:cs="Arial"/>
        </w:rPr>
        <w:lastRenderedPageBreak/>
        <w:t xml:space="preserve">9. Reconocer y revocar la Personería Jurídica de los partidos y movimientos políticos. </w:t>
      </w:r>
    </w:p>
    <w:p w:rsidR="00182A73" w:rsidRDefault="00182A73" w:rsidP="00182A73">
      <w:pPr>
        <w:pStyle w:val="NormalWeb"/>
        <w:rPr>
          <w:rFonts w:ascii="Arial" w:hAnsi="Arial" w:cs="Arial"/>
        </w:rPr>
      </w:pPr>
      <w:r>
        <w:rPr>
          <w:rFonts w:ascii="Arial" w:hAnsi="Arial" w:cs="Arial"/>
        </w:rPr>
        <w:t xml:space="preserve">10. Reglamentar la participación de los Partidos y Movimientos Políticos en los medios de comunicación social del Estado. </w:t>
      </w:r>
    </w:p>
    <w:p w:rsidR="00182A73" w:rsidRDefault="00182A73" w:rsidP="00182A73">
      <w:pPr>
        <w:pStyle w:val="NormalWeb"/>
        <w:rPr>
          <w:rFonts w:ascii="Arial" w:hAnsi="Arial" w:cs="Arial"/>
        </w:rPr>
      </w:pPr>
      <w:r>
        <w:rPr>
          <w:rFonts w:ascii="Arial" w:hAnsi="Arial" w:cs="Arial"/>
        </w:rPr>
        <w:t xml:space="preserve">11. Colaborar para la realización de consultas de los partidos y movimientos para la toma de decisiones y la escogencia de sus candidatos. </w:t>
      </w:r>
    </w:p>
    <w:p w:rsidR="00182A73" w:rsidRDefault="00182A73" w:rsidP="00182A73">
      <w:pPr>
        <w:pStyle w:val="NormalWeb"/>
        <w:rPr>
          <w:rFonts w:ascii="Arial" w:hAnsi="Arial" w:cs="Arial"/>
        </w:rPr>
      </w:pPr>
      <w:r>
        <w:rPr>
          <w:rFonts w:ascii="Arial" w:hAnsi="Arial" w:cs="Arial"/>
        </w:rPr>
        <w:t xml:space="preserve">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 </w:t>
      </w:r>
    </w:p>
    <w:p w:rsidR="00182A73" w:rsidRDefault="00182A73" w:rsidP="00182A73">
      <w:pPr>
        <w:pStyle w:val="NormalWeb"/>
        <w:rPr>
          <w:rFonts w:ascii="Arial" w:hAnsi="Arial" w:cs="Arial"/>
        </w:rPr>
      </w:pPr>
      <w:r>
        <w:rPr>
          <w:rFonts w:ascii="Arial" w:hAnsi="Arial" w:cs="Arial"/>
        </w:rPr>
        <w:t xml:space="preserve">13. Darse su propio reglamento. </w:t>
      </w:r>
    </w:p>
    <w:p w:rsidR="00182A73" w:rsidRDefault="00182A73" w:rsidP="00182A73">
      <w:pPr>
        <w:pStyle w:val="NormalWeb"/>
        <w:rPr>
          <w:rFonts w:ascii="Arial" w:hAnsi="Arial" w:cs="Arial"/>
        </w:rPr>
      </w:pPr>
      <w:r>
        <w:rPr>
          <w:rFonts w:ascii="Arial" w:hAnsi="Arial" w:cs="Arial"/>
        </w:rPr>
        <w:t xml:space="preserve">14. Las demás que le confiera la ley. </w:t>
      </w:r>
    </w:p>
    <w:p w:rsidR="00182A73" w:rsidRDefault="00182A73" w:rsidP="00182A73">
      <w:pPr>
        <w:pStyle w:val="NormalWeb"/>
        <w:rPr>
          <w:rFonts w:ascii="Arial" w:hAnsi="Arial" w:cs="Arial"/>
        </w:rPr>
      </w:pPr>
      <w:r>
        <w:rPr>
          <w:rFonts w:ascii="Arial" w:hAnsi="Arial" w:cs="Arial"/>
          <w:b/>
          <w:bCs/>
        </w:rPr>
        <w:t>Artículo </w:t>
      </w:r>
      <w:bookmarkStart w:id="12" w:name="13"/>
      <w:r>
        <w:rPr>
          <w:rFonts w:ascii="Arial" w:hAnsi="Arial" w:cs="Arial"/>
          <w:b/>
          <w:bCs/>
        </w:rPr>
        <w:t> </w:t>
      </w:r>
      <w:bookmarkEnd w:id="12"/>
      <w:r>
        <w:rPr>
          <w:rFonts w:ascii="Arial" w:hAnsi="Arial" w:cs="Arial"/>
          <w:b/>
          <w:bCs/>
        </w:rPr>
        <w:t xml:space="preserve">13.  INEXEQUIBLE. </w:t>
      </w:r>
      <w:r>
        <w:rPr>
          <w:rFonts w:ascii="Arial" w:hAnsi="Arial" w:cs="Arial"/>
        </w:rPr>
        <w:t xml:space="preserve">El numeral 8 del artículo </w:t>
      </w:r>
      <w:hyperlink r:id="rId17" w:anchor="179" w:history="1">
        <w:r>
          <w:rPr>
            <w:rStyle w:val="Hipervnculo"/>
            <w:rFonts w:ascii="Arial" w:hAnsi="Arial" w:cs="Arial"/>
          </w:rPr>
          <w:t>179</w:t>
        </w:r>
      </w:hyperlink>
      <w:r>
        <w:rPr>
          <w:rFonts w:ascii="Arial" w:hAnsi="Arial" w:cs="Arial"/>
        </w:rPr>
        <w:t xml:space="preserve"> de la Constitución Política, quedará así: </w:t>
      </w:r>
    </w:p>
    <w:p w:rsidR="00182A73" w:rsidRDefault="00182A73" w:rsidP="00182A73">
      <w:pPr>
        <w:pStyle w:val="NormalWeb"/>
        <w:rPr>
          <w:rFonts w:ascii="Arial" w:hAnsi="Arial" w:cs="Arial"/>
        </w:rPr>
      </w:pPr>
      <w:r>
        <w:rPr>
          <w:rFonts w:ascii="Arial" w:hAnsi="Arial" w:cs="Arial"/>
        </w:rPr>
        <w:t xml:space="preserve">8. Nadie podrá ser elegido para más de una Corporación o cargo público, ni para una Corporación y un cargo si los respectivos períodos coinciden en el tiempo, así fuere parcialmente. La renuncia un (1) año antes de la elección al cargo al que se aspire elimina la inhabilidad. </w:t>
      </w:r>
    </w:p>
    <w:p w:rsidR="00182A73" w:rsidRDefault="00182A73" w:rsidP="00182A73">
      <w:pPr>
        <w:pStyle w:val="NormalWeb"/>
        <w:rPr>
          <w:rFonts w:ascii="Arial" w:hAnsi="Arial" w:cs="Arial"/>
        </w:rPr>
      </w:pPr>
      <w:r>
        <w:rPr>
          <w:rFonts w:ascii="Arial" w:hAnsi="Arial" w:cs="Arial"/>
          <w:b/>
          <w:bCs/>
        </w:rPr>
        <w:t>Parágrafo transitorio.</w:t>
      </w:r>
      <w:r>
        <w:rPr>
          <w:rFonts w:ascii="Arial" w:hAnsi="Arial" w:cs="Arial"/>
        </w:rPr>
        <w:t xml:space="preserve"> La inhabilidad establecida en el numeral anterior no aplicará para quienes hayan renunciado al menos seis (6) meses antes del último día de inscripciones para la realización de las elecciones al Congreso de la República en el año 2010. </w:t>
      </w:r>
    </w:p>
    <w:p w:rsidR="00182A73" w:rsidRDefault="00182A73" w:rsidP="00182A73">
      <w:pPr>
        <w:pStyle w:val="NormalWeb"/>
        <w:rPr>
          <w:rFonts w:ascii="Arial" w:hAnsi="Arial" w:cs="Arial"/>
        </w:rPr>
      </w:pPr>
      <w:r>
        <w:rPr>
          <w:rStyle w:val="Textoennegrita"/>
          <w:rFonts w:ascii="Arial" w:hAnsi="Arial" w:cs="Arial"/>
        </w:rPr>
        <w:t xml:space="preserve">Corte Constitucional Sentencia C-040 de 2010 </w:t>
      </w:r>
    </w:p>
    <w:p w:rsidR="00182A73" w:rsidRDefault="00182A73" w:rsidP="00182A73">
      <w:pPr>
        <w:pStyle w:val="NormalWeb"/>
        <w:rPr>
          <w:rFonts w:ascii="Arial" w:hAnsi="Arial" w:cs="Arial"/>
        </w:rPr>
      </w:pPr>
      <w:r>
        <w:rPr>
          <w:rFonts w:ascii="Arial" w:hAnsi="Arial" w:cs="Arial"/>
          <w:b/>
          <w:bCs/>
        </w:rPr>
        <w:t>Artículo </w:t>
      </w:r>
      <w:bookmarkStart w:id="13" w:name="14"/>
      <w:r>
        <w:rPr>
          <w:rFonts w:ascii="Arial" w:hAnsi="Arial" w:cs="Arial"/>
          <w:b/>
          <w:bCs/>
        </w:rPr>
        <w:t> </w:t>
      </w:r>
      <w:bookmarkEnd w:id="13"/>
      <w:r>
        <w:rPr>
          <w:rFonts w:ascii="Arial" w:hAnsi="Arial" w:cs="Arial"/>
          <w:b/>
          <w:bCs/>
        </w:rPr>
        <w:t xml:space="preserve">14. </w:t>
      </w:r>
      <w:r>
        <w:rPr>
          <w:rFonts w:ascii="Arial" w:hAnsi="Arial" w:cs="Arial"/>
        </w:rPr>
        <w:t xml:space="preserve">La Constitución Política tendrá un </w:t>
      </w:r>
      <w:hyperlink r:id="rId18" w:anchor="381" w:history="1">
        <w:r>
          <w:rPr>
            <w:rStyle w:val="Hipervnculo"/>
            <w:rFonts w:ascii="Arial" w:hAnsi="Arial" w:cs="Arial"/>
          </w:rPr>
          <w:t>artículo</w:t>
        </w:r>
      </w:hyperlink>
      <w:r>
        <w:rPr>
          <w:rFonts w:ascii="Arial" w:hAnsi="Arial" w:cs="Arial"/>
        </w:rPr>
        <w:t xml:space="preserve"> nuevo transitorio, así: </w:t>
      </w:r>
    </w:p>
    <w:p w:rsidR="00182A73" w:rsidRDefault="00182A73" w:rsidP="00182A73">
      <w:pPr>
        <w:pStyle w:val="NormalWeb"/>
        <w:rPr>
          <w:rFonts w:ascii="Arial" w:hAnsi="Arial" w:cs="Arial"/>
        </w:rPr>
      </w:pPr>
      <w:r>
        <w:rPr>
          <w:rFonts w:ascii="Arial" w:hAnsi="Arial" w:cs="Arial"/>
          <w:b/>
          <w:bCs/>
        </w:rPr>
        <w:t>Artículo Nuev</w:t>
      </w:r>
      <w:r>
        <w:rPr>
          <w:rFonts w:ascii="Arial" w:hAnsi="Arial" w:cs="Arial"/>
        </w:rPr>
        <w:t xml:space="preserve">o. Dentro del año siguiente a la entrada en vigencia de la presente reforma constitucional, el Congreso expedirá, previo estudio por parte de una comisión especial que el Gobierno creará para tal efecto, una ley que contemple un "Régimen Especial en lo económico, lo político, lo social y lo administrativo, para territorios que comprenden las </w:t>
      </w:r>
      <w:proofErr w:type="spellStart"/>
      <w:r>
        <w:rPr>
          <w:rFonts w:ascii="Arial" w:hAnsi="Arial" w:cs="Arial"/>
        </w:rPr>
        <w:t>ecorregiones</w:t>
      </w:r>
      <w:proofErr w:type="spellEnd"/>
      <w:r>
        <w:rPr>
          <w:rFonts w:ascii="Arial" w:hAnsi="Arial" w:cs="Arial"/>
        </w:rPr>
        <w:t xml:space="preserve"> de la Sierra Nevada de Santa Marta, la Ciénaga de </w:t>
      </w:r>
      <w:proofErr w:type="spellStart"/>
      <w:r>
        <w:rPr>
          <w:rFonts w:ascii="Arial" w:hAnsi="Arial" w:cs="Arial"/>
        </w:rPr>
        <w:t>Zapatosa</w:t>
      </w:r>
      <w:proofErr w:type="spellEnd"/>
      <w:r>
        <w:rPr>
          <w:rFonts w:ascii="Arial" w:hAnsi="Arial" w:cs="Arial"/>
        </w:rPr>
        <w:t xml:space="preserve">, la Serranía del </w:t>
      </w:r>
      <w:proofErr w:type="spellStart"/>
      <w:r>
        <w:rPr>
          <w:rFonts w:ascii="Arial" w:hAnsi="Arial" w:cs="Arial"/>
        </w:rPr>
        <w:t>Perijá</w:t>
      </w:r>
      <w:proofErr w:type="spellEnd"/>
      <w:r>
        <w:rPr>
          <w:rFonts w:ascii="Arial" w:hAnsi="Arial" w:cs="Arial"/>
        </w:rPr>
        <w:t xml:space="preserve">, los Llanos Orientales, Amazonía, Región del </w:t>
      </w:r>
      <w:proofErr w:type="spellStart"/>
      <w:r>
        <w:rPr>
          <w:rFonts w:ascii="Arial" w:hAnsi="Arial" w:cs="Arial"/>
        </w:rPr>
        <w:t>Catatumbo</w:t>
      </w:r>
      <w:proofErr w:type="spellEnd"/>
      <w:r>
        <w:rPr>
          <w:rFonts w:ascii="Arial" w:hAnsi="Arial" w:cs="Arial"/>
        </w:rPr>
        <w:t xml:space="preserve">, Orinoquia, Chocó </w:t>
      </w:r>
      <w:proofErr w:type="spellStart"/>
      <w:r>
        <w:rPr>
          <w:rFonts w:ascii="Arial" w:hAnsi="Arial" w:cs="Arial"/>
        </w:rPr>
        <w:t>Biogeográfico</w:t>
      </w:r>
      <w:proofErr w:type="spellEnd"/>
      <w:r>
        <w:rPr>
          <w:rFonts w:ascii="Arial" w:hAnsi="Arial" w:cs="Arial"/>
        </w:rPr>
        <w:t xml:space="preserve">, los Montes de María, la </w:t>
      </w:r>
      <w:proofErr w:type="spellStart"/>
      <w:r>
        <w:rPr>
          <w:rFonts w:ascii="Arial" w:hAnsi="Arial" w:cs="Arial"/>
        </w:rPr>
        <w:t>Mojana</w:t>
      </w:r>
      <w:proofErr w:type="spellEnd"/>
      <w:r>
        <w:rPr>
          <w:rFonts w:ascii="Arial" w:hAnsi="Arial" w:cs="Arial"/>
        </w:rPr>
        <w:t xml:space="preserve">, y los pueblos </w:t>
      </w:r>
      <w:proofErr w:type="spellStart"/>
      <w:r>
        <w:rPr>
          <w:rFonts w:ascii="Arial" w:hAnsi="Arial" w:cs="Arial"/>
        </w:rPr>
        <w:t>polifitos</w:t>
      </w:r>
      <w:proofErr w:type="spellEnd"/>
      <w:r>
        <w:rPr>
          <w:rFonts w:ascii="Arial" w:hAnsi="Arial" w:cs="Arial"/>
        </w:rPr>
        <w:t xml:space="preserve"> del Magdalena y el Pacífico, con el objetivo de reducir los desequilibrios que frente a su desarrollo existen con el resto del país". </w:t>
      </w:r>
    </w:p>
    <w:p w:rsidR="00182A73" w:rsidRDefault="00182A73" w:rsidP="00182A73">
      <w:pPr>
        <w:pStyle w:val="NormalWeb"/>
        <w:rPr>
          <w:rFonts w:ascii="Arial" w:hAnsi="Arial" w:cs="Arial"/>
        </w:rPr>
      </w:pPr>
      <w:r>
        <w:rPr>
          <w:rFonts w:ascii="Arial" w:hAnsi="Arial" w:cs="Arial"/>
          <w:b/>
          <w:bCs/>
        </w:rPr>
        <w:t xml:space="preserve">Artículo 15. </w:t>
      </w:r>
      <w:r>
        <w:rPr>
          <w:rFonts w:ascii="Arial" w:hAnsi="Arial" w:cs="Arial"/>
        </w:rPr>
        <w:t xml:space="preserve">Vigencia. El presente acto legislativo regirá a partir de su promulgación. </w:t>
      </w:r>
    </w:p>
    <w:p w:rsidR="00182A73" w:rsidRDefault="00182A73" w:rsidP="00182A73">
      <w:pPr>
        <w:pStyle w:val="NormalWeb"/>
        <w:jc w:val="center"/>
        <w:rPr>
          <w:rFonts w:ascii="Arial" w:hAnsi="Arial" w:cs="Arial"/>
          <w:b/>
          <w:bCs/>
        </w:rPr>
      </w:pPr>
      <w:r>
        <w:rPr>
          <w:rFonts w:ascii="Arial" w:hAnsi="Arial" w:cs="Arial"/>
          <w:b/>
          <w:bCs/>
        </w:rPr>
        <w:t>El Presidente del honorable Senado de la República,</w:t>
      </w:r>
    </w:p>
    <w:p w:rsidR="00182A73" w:rsidRDefault="00182A73" w:rsidP="00182A73">
      <w:pPr>
        <w:pStyle w:val="NormalWeb"/>
        <w:jc w:val="center"/>
        <w:rPr>
          <w:rFonts w:ascii="Arial" w:hAnsi="Arial" w:cs="Arial"/>
          <w:b/>
          <w:bCs/>
        </w:rPr>
      </w:pPr>
      <w:r>
        <w:rPr>
          <w:rFonts w:ascii="Arial" w:hAnsi="Arial" w:cs="Arial"/>
          <w:b/>
          <w:bCs/>
        </w:rPr>
        <w:lastRenderedPageBreak/>
        <w:t>Hernán Andrade Serrano.</w:t>
      </w:r>
    </w:p>
    <w:p w:rsidR="00182A73" w:rsidRDefault="00182A73" w:rsidP="00182A73">
      <w:pPr>
        <w:pStyle w:val="NormalWeb"/>
        <w:jc w:val="center"/>
        <w:rPr>
          <w:rFonts w:ascii="Arial" w:hAnsi="Arial" w:cs="Arial"/>
          <w:b/>
          <w:bCs/>
        </w:rPr>
      </w:pPr>
      <w:r>
        <w:rPr>
          <w:rFonts w:ascii="Arial" w:hAnsi="Arial" w:cs="Arial"/>
          <w:b/>
          <w:bCs/>
        </w:rPr>
        <w:t>El Secretario General del honorable Senado de la República,</w:t>
      </w:r>
    </w:p>
    <w:p w:rsidR="00182A73" w:rsidRDefault="00182A73" w:rsidP="00182A73">
      <w:pPr>
        <w:pStyle w:val="NormalWeb"/>
        <w:jc w:val="center"/>
        <w:rPr>
          <w:rFonts w:ascii="Arial" w:hAnsi="Arial" w:cs="Arial"/>
          <w:b/>
          <w:bCs/>
        </w:rPr>
      </w:pPr>
      <w:r>
        <w:rPr>
          <w:rFonts w:ascii="Arial" w:hAnsi="Arial" w:cs="Arial"/>
          <w:b/>
          <w:bCs/>
        </w:rPr>
        <w:t xml:space="preserve">Emilio Ramón Otero </w:t>
      </w:r>
      <w:proofErr w:type="spellStart"/>
      <w:r>
        <w:rPr>
          <w:rFonts w:ascii="Arial" w:hAnsi="Arial" w:cs="Arial"/>
          <w:b/>
          <w:bCs/>
        </w:rPr>
        <w:t>Dajud</w:t>
      </w:r>
      <w:proofErr w:type="spellEnd"/>
      <w:r>
        <w:rPr>
          <w:rFonts w:ascii="Arial" w:hAnsi="Arial" w:cs="Arial"/>
          <w:b/>
          <w:bCs/>
        </w:rPr>
        <w:t>.</w:t>
      </w:r>
    </w:p>
    <w:p w:rsidR="00182A73" w:rsidRDefault="00182A73" w:rsidP="00182A73">
      <w:pPr>
        <w:pStyle w:val="NormalWeb"/>
        <w:jc w:val="center"/>
        <w:rPr>
          <w:rFonts w:ascii="Arial" w:hAnsi="Arial" w:cs="Arial"/>
          <w:b/>
          <w:bCs/>
        </w:rPr>
      </w:pPr>
      <w:r>
        <w:rPr>
          <w:rFonts w:ascii="Arial" w:hAnsi="Arial" w:cs="Arial"/>
          <w:b/>
          <w:bCs/>
        </w:rPr>
        <w:t>El Presidente de la honorable Cámara de Representantes,</w:t>
      </w:r>
    </w:p>
    <w:p w:rsidR="00182A73" w:rsidRDefault="00182A73" w:rsidP="00182A73">
      <w:pPr>
        <w:pStyle w:val="NormalWeb"/>
        <w:jc w:val="center"/>
        <w:rPr>
          <w:rFonts w:ascii="Arial" w:hAnsi="Arial" w:cs="Arial"/>
          <w:b/>
          <w:bCs/>
        </w:rPr>
      </w:pPr>
      <w:r>
        <w:rPr>
          <w:rFonts w:ascii="Arial" w:hAnsi="Arial" w:cs="Arial"/>
          <w:b/>
          <w:bCs/>
        </w:rPr>
        <w:t xml:space="preserve">Germán Varón </w:t>
      </w:r>
      <w:proofErr w:type="spellStart"/>
      <w:r>
        <w:rPr>
          <w:rFonts w:ascii="Arial" w:hAnsi="Arial" w:cs="Arial"/>
          <w:b/>
          <w:bCs/>
        </w:rPr>
        <w:t>Cotrino</w:t>
      </w:r>
      <w:proofErr w:type="spellEnd"/>
      <w:r>
        <w:rPr>
          <w:rFonts w:ascii="Arial" w:hAnsi="Arial" w:cs="Arial"/>
          <w:b/>
          <w:bCs/>
        </w:rPr>
        <w:t>.</w:t>
      </w:r>
    </w:p>
    <w:p w:rsidR="00182A73" w:rsidRDefault="00182A73" w:rsidP="00182A73">
      <w:pPr>
        <w:pStyle w:val="NormalWeb"/>
        <w:jc w:val="center"/>
        <w:rPr>
          <w:rFonts w:ascii="Arial" w:hAnsi="Arial" w:cs="Arial"/>
          <w:b/>
          <w:bCs/>
        </w:rPr>
      </w:pPr>
      <w:r>
        <w:rPr>
          <w:rFonts w:ascii="Arial" w:hAnsi="Arial" w:cs="Arial"/>
          <w:b/>
          <w:bCs/>
        </w:rPr>
        <w:t>El Secretario General de la honorable Cámara de Representantes,</w:t>
      </w:r>
    </w:p>
    <w:p w:rsidR="00182A73" w:rsidRDefault="00182A73" w:rsidP="00182A73">
      <w:pPr>
        <w:pStyle w:val="NormalWeb"/>
        <w:jc w:val="center"/>
        <w:rPr>
          <w:rFonts w:ascii="Arial" w:hAnsi="Arial" w:cs="Arial"/>
          <w:b/>
          <w:bCs/>
        </w:rPr>
      </w:pPr>
      <w:r>
        <w:rPr>
          <w:rFonts w:ascii="Arial" w:hAnsi="Arial" w:cs="Arial"/>
          <w:b/>
          <w:bCs/>
        </w:rPr>
        <w:t>Jesús Alfonso Rodríguez Camargo.</w:t>
      </w:r>
    </w:p>
    <w:p w:rsidR="00182A73" w:rsidRDefault="00182A73" w:rsidP="00182A73">
      <w:pPr>
        <w:pStyle w:val="NormalWeb"/>
        <w:rPr>
          <w:rFonts w:ascii="Arial" w:hAnsi="Arial" w:cs="Arial"/>
        </w:rPr>
      </w:pPr>
      <w:r>
        <w:rPr>
          <w:rFonts w:ascii="Arial" w:hAnsi="Arial" w:cs="Arial"/>
        </w:rPr>
        <w:t xml:space="preserve">Bogotá, D. C., 3 de julio de 2009 </w:t>
      </w:r>
    </w:p>
    <w:p w:rsidR="00182A73" w:rsidRDefault="00182A73" w:rsidP="00182A73">
      <w:pPr>
        <w:pStyle w:val="NormalWeb"/>
        <w:rPr>
          <w:rFonts w:ascii="Arial" w:hAnsi="Arial" w:cs="Arial"/>
        </w:rPr>
      </w:pPr>
      <w:r>
        <w:rPr>
          <w:rFonts w:ascii="Arial" w:hAnsi="Arial" w:cs="Arial"/>
        </w:rPr>
        <w:t xml:space="preserve">S. G.2-1614 de 2009 </w:t>
      </w:r>
    </w:p>
    <w:p w:rsidR="00182A73" w:rsidRDefault="00182A73" w:rsidP="00182A73">
      <w:pPr>
        <w:pStyle w:val="NormalWeb"/>
        <w:rPr>
          <w:rFonts w:ascii="Arial" w:hAnsi="Arial" w:cs="Arial"/>
        </w:rPr>
      </w:pPr>
      <w:r>
        <w:rPr>
          <w:rFonts w:ascii="Arial" w:hAnsi="Arial" w:cs="Arial"/>
        </w:rPr>
        <w:t xml:space="preserve">Doctor </w:t>
      </w:r>
    </w:p>
    <w:p w:rsidR="00182A73" w:rsidRDefault="00182A73" w:rsidP="00182A73">
      <w:pPr>
        <w:pStyle w:val="NormalWeb"/>
        <w:rPr>
          <w:rFonts w:ascii="Arial" w:hAnsi="Arial" w:cs="Arial"/>
        </w:rPr>
      </w:pPr>
      <w:r>
        <w:rPr>
          <w:rFonts w:ascii="Arial" w:hAnsi="Arial" w:cs="Arial"/>
        </w:rPr>
        <w:t xml:space="preserve">ÁLVARO URIBE VÉLEZ </w:t>
      </w:r>
    </w:p>
    <w:p w:rsidR="00182A73" w:rsidRDefault="00182A73" w:rsidP="00182A73">
      <w:pPr>
        <w:pStyle w:val="NormalWeb"/>
        <w:rPr>
          <w:rFonts w:ascii="Arial" w:hAnsi="Arial" w:cs="Arial"/>
        </w:rPr>
      </w:pPr>
      <w:r>
        <w:rPr>
          <w:rFonts w:ascii="Arial" w:hAnsi="Arial" w:cs="Arial"/>
        </w:rPr>
        <w:t xml:space="preserve">Presidente de la República </w:t>
      </w:r>
    </w:p>
    <w:p w:rsidR="00182A73" w:rsidRDefault="00182A73" w:rsidP="00182A73">
      <w:pPr>
        <w:pStyle w:val="NormalWeb"/>
        <w:rPr>
          <w:rFonts w:ascii="Arial" w:hAnsi="Arial" w:cs="Arial"/>
        </w:rPr>
      </w:pPr>
      <w:r>
        <w:rPr>
          <w:rFonts w:ascii="Arial" w:hAnsi="Arial" w:cs="Arial"/>
        </w:rPr>
        <w:t xml:space="preserve">Bogotá, D. C. </w:t>
      </w:r>
    </w:p>
    <w:p w:rsidR="00182A73" w:rsidRDefault="00182A73" w:rsidP="00182A73">
      <w:pPr>
        <w:pStyle w:val="NormalWeb"/>
        <w:rPr>
          <w:rFonts w:ascii="Arial" w:hAnsi="Arial" w:cs="Arial"/>
        </w:rPr>
      </w:pPr>
      <w:r>
        <w:rPr>
          <w:rFonts w:ascii="Arial" w:hAnsi="Arial" w:cs="Arial"/>
        </w:rPr>
        <w:t xml:space="preserve">Excelentísimo señor Presidente: </w:t>
      </w:r>
    </w:p>
    <w:p w:rsidR="00182A73" w:rsidRDefault="00182A73" w:rsidP="00182A73">
      <w:pPr>
        <w:pStyle w:val="NormalWeb"/>
        <w:rPr>
          <w:rFonts w:ascii="Arial" w:hAnsi="Arial" w:cs="Arial"/>
        </w:rPr>
      </w:pPr>
      <w:r>
        <w:rPr>
          <w:rFonts w:ascii="Arial" w:hAnsi="Arial" w:cs="Arial"/>
        </w:rPr>
        <w:t xml:space="preserve">Por instrucciones del señor Presidente de esta Corporación, doctor Germán Varón </w:t>
      </w:r>
      <w:proofErr w:type="spellStart"/>
      <w:r>
        <w:rPr>
          <w:rFonts w:ascii="Arial" w:hAnsi="Arial" w:cs="Arial"/>
        </w:rPr>
        <w:t>Cotrino</w:t>
      </w:r>
      <w:proofErr w:type="spellEnd"/>
      <w:r>
        <w:rPr>
          <w:rFonts w:ascii="Arial" w:hAnsi="Arial" w:cs="Arial"/>
        </w:rPr>
        <w:t xml:space="preserve"> y acompañado de todos sus antecedentes y en cumplimiento a lo ordenado en los artículos 157 numerales 4, 165 y 166 de la Constitución Política y 196 de la Ley 5ª de 1992, comedidamente me permito remitir el </w:t>
      </w:r>
      <w:r>
        <w:rPr>
          <w:rFonts w:ascii="Arial" w:hAnsi="Arial" w:cs="Arial"/>
          <w:b/>
          <w:bCs/>
        </w:rPr>
        <w:t xml:space="preserve">Proyecto de Acto Legislativo número 106 de 2008 Cámara, acumulado con los Proyectos números 051 de 2008 Cámara, 101 de 2008 Cámara, 109 de 2008 Cámara, 128 de 2008 Cámara, 129 de 2008 Cámara, 140 de 2008 Cámara, 012 de 2008 Senado, </w:t>
      </w:r>
      <w:r>
        <w:rPr>
          <w:rFonts w:ascii="Arial" w:hAnsi="Arial" w:cs="Arial"/>
          <w:i/>
          <w:iCs/>
        </w:rPr>
        <w:t>por el cual se modifican y adicionan unos artículos de la Constitución Política de Colombia</w:t>
      </w:r>
      <w:r>
        <w:rPr>
          <w:rFonts w:ascii="Arial" w:hAnsi="Arial" w:cs="Arial"/>
        </w:rPr>
        <w:t xml:space="preserve">. </w:t>
      </w:r>
    </w:p>
    <w:p w:rsidR="00182A73" w:rsidRDefault="00182A73" w:rsidP="00182A73">
      <w:pPr>
        <w:pStyle w:val="NormalWeb"/>
        <w:rPr>
          <w:rFonts w:ascii="Arial" w:hAnsi="Arial" w:cs="Arial"/>
        </w:rPr>
      </w:pPr>
      <w:r>
        <w:rPr>
          <w:rFonts w:ascii="Arial" w:hAnsi="Arial" w:cs="Arial"/>
        </w:rPr>
        <w:t xml:space="preserve">El Proyecto de acto legislativo en mención fue debatido y aprobado por el Congreso de la República en las siguientes fechas: </w:t>
      </w:r>
    </w:p>
    <w:p w:rsidR="00182A73" w:rsidRDefault="00182A73" w:rsidP="00182A73">
      <w:pPr>
        <w:pStyle w:val="NormalWeb"/>
        <w:rPr>
          <w:rFonts w:ascii="Arial" w:hAnsi="Arial" w:cs="Arial"/>
        </w:rPr>
      </w:pPr>
      <w:r>
        <w:rPr>
          <w:rFonts w:ascii="Arial" w:hAnsi="Arial" w:cs="Arial"/>
        </w:rPr>
        <w:t xml:space="preserve">Comisión Primera de Cámara de Representantes: octubre 7 de 2008. (Primera Vuelta). </w:t>
      </w:r>
    </w:p>
    <w:p w:rsidR="00182A73" w:rsidRDefault="00182A73" w:rsidP="00182A73">
      <w:pPr>
        <w:pStyle w:val="NormalWeb"/>
        <w:rPr>
          <w:rFonts w:ascii="Arial" w:hAnsi="Arial" w:cs="Arial"/>
        </w:rPr>
      </w:pPr>
      <w:r>
        <w:rPr>
          <w:rFonts w:ascii="Arial" w:hAnsi="Arial" w:cs="Arial"/>
        </w:rPr>
        <w:t xml:space="preserve">Comisión Primera de Cámara de Representantes: abril 23 de 2009. (Segunda Vuelta). </w:t>
      </w:r>
    </w:p>
    <w:p w:rsidR="00182A73" w:rsidRDefault="00182A73" w:rsidP="00182A73">
      <w:pPr>
        <w:pStyle w:val="NormalWeb"/>
        <w:rPr>
          <w:rFonts w:ascii="Arial" w:hAnsi="Arial" w:cs="Arial"/>
        </w:rPr>
      </w:pPr>
      <w:r>
        <w:rPr>
          <w:rFonts w:ascii="Arial" w:hAnsi="Arial" w:cs="Arial"/>
        </w:rPr>
        <w:t xml:space="preserve">Plenaria de la honorable Cámara de Representantes: octubre 29 de 2008. (Primera Vuelta). </w:t>
      </w:r>
    </w:p>
    <w:p w:rsidR="00182A73" w:rsidRDefault="00182A73" w:rsidP="00182A73">
      <w:pPr>
        <w:pStyle w:val="NormalWeb"/>
        <w:rPr>
          <w:rFonts w:ascii="Arial" w:hAnsi="Arial" w:cs="Arial"/>
        </w:rPr>
      </w:pPr>
      <w:r>
        <w:rPr>
          <w:rFonts w:ascii="Arial" w:hAnsi="Arial" w:cs="Arial"/>
        </w:rPr>
        <w:lastRenderedPageBreak/>
        <w:t xml:space="preserve">Plenaria de la honorable Cámara de Representantes: mayo 6 y 7 de 2009. (Segunda Vuelta). </w:t>
      </w:r>
    </w:p>
    <w:p w:rsidR="00182A73" w:rsidRDefault="00182A73" w:rsidP="00182A73">
      <w:pPr>
        <w:pStyle w:val="NormalWeb"/>
        <w:rPr>
          <w:rFonts w:ascii="Arial" w:hAnsi="Arial" w:cs="Arial"/>
        </w:rPr>
      </w:pPr>
      <w:r>
        <w:rPr>
          <w:rFonts w:ascii="Arial" w:hAnsi="Arial" w:cs="Arial"/>
        </w:rPr>
        <w:t xml:space="preserve">Comisión Primera Senado de la República: noviembre 27 de 2008. (Primera Vuelta). </w:t>
      </w:r>
    </w:p>
    <w:p w:rsidR="00182A73" w:rsidRDefault="00182A73" w:rsidP="00182A73">
      <w:pPr>
        <w:pStyle w:val="NormalWeb"/>
        <w:rPr>
          <w:rFonts w:ascii="Arial" w:hAnsi="Arial" w:cs="Arial"/>
        </w:rPr>
      </w:pPr>
      <w:r>
        <w:rPr>
          <w:rFonts w:ascii="Arial" w:hAnsi="Arial" w:cs="Arial"/>
        </w:rPr>
        <w:t xml:space="preserve">Comisión Primera Senado de la República: mayo 28 de 2009. (Segunda Vuelta). </w:t>
      </w:r>
    </w:p>
    <w:p w:rsidR="00182A73" w:rsidRDefault="00182A73" w:rsidP="00182A73">
      <w:pPr>
        <w:pStyle w:val="NormalWeb"/>
        <w:rPr>
          <w:rFonts w:ascii="Arial" w:hAnsi="Arial" w:cs="Arial"/>
        </w:rPr>
      </w:pPr>
      <w:r>
        <w:rPr>
          <w:rFonts w:ascii="Arial" w:hAnsi="Arial" w:cs="Arial"/>
        </w:rPr>
        <w:t xml:space="preserve">Plenaria del Senado de la República: diciembre 15 de 2008. (Primera Vuelta). </w:t>
      </w:r>
    </w:p>
    <w:p w:rsidR="00182A73" w:rsidRDefault="00182A73" w:rsidP="00182A73">
      <w:pPr>
        <w:pStyle w:val="NormalWeb"/>
        <w:rPr>
          <w:rFonts w:ascii="Arial" w:hAnsi="Arial" w:cs="Arial"/>
        </w:rPr>
      </w:pPr>
      <w:r>
        <w:rPr>
          <w:rFonts w:ascii="Arial" w:hAnsi="Arial" w:cs="Arial"/>
        </w:rPr>
        <w:t xml:space="preserve">Plenaria del Senado de la República: junio 17 de 2009. (Segunda Vuelta). </w:t>
      </w:r>
    </w:p>
    <w:p w:rsidR="00182A73" w:rsidRDefault="00182A73" w:rsidP="00182A73">
      <w:pPr>
        <w:pStyle w:val="NormalWeb"/>
        <w:rPr>
          <w:rFonts w:ascii="Arial" w:hAnsi="Arial" w:cs="Arial"/>
        </w:rPr>
      </w:pPr>
      <w:r>
        <w:rPr>
          <w:rFonts w:ascii="Arial" w:hAnsi="Arial" w:cs="Arial"/>
        </w:rPr>
        <w:t xml:space="preserve">Comisión Accidental Cámara de Representantes: diciembre 16 de 2008. (Primera Vuelta). </w:t>
      </w:r>
    </w:p>
    <w:p w:rsidR="00182A73" w:rsidRDefault="00182A73" w:rsidP="00182A73">
      <w:pPr>
        <w:pStyle w:val="NormalWeb"/>
        <w:rPr>
          <w:rFonts w:ascii="Arial" w:hAnsi="Arial" w:cs="Arial"/>
        </w:rPr>
      </w:pPr>
      <w:r>
        <w:rPr>
          <w:rFonts w:ascii="Arial" w:hAnsi="Arial" w:cs="Arial"/>
        </w:rPr>
        <w:t xml:space="preserve">Comisión Accidental Cámara de Representantes: junio 19 de 2009. (Segunda Vuelta). </w:t>
      </w:r>
    </w:p>
    <w:p w:rsidR="00182A73" w:rsidRDefault="00182A73" w:rsidP="00182A73">
      <w:pPr>
        <w:pStyle w:val="NormalWeb"/>
        <w:rPr>
          <w:rFonts w:ascii="Arial" w:hAnsi="Arial" w:cs="Arial"/>
        </w:rPr>
      </w:pPr>
      <w:r>
        <w:rPr>
          <w:rFonts w:ascii="Arial" w:hAnsi="Arial" w:cs="Arial"/>
        </w:rPr>
        <w:t xml:space="preserve">Comisión Accidental Senado de la República: diciembre 16 de 2008. (Primera Vuelta). </w:t>
      </w:r>
    </w:p>
    <w:p w:rsidR="00182A73" w:rsidRDefault="00182A73" w:rsidP="00182A73">
      <w:pPr>
        <w:pStyle w:val="NormalWeb"/>
        <w:rPr>
          <w:rFonts w:ascii="Arial" w:hAnsi="Arial" w:cs="Arial"/>
        </w:rPr>
      </w:pPr>
      <w:r>
        <w:rPr>
          <w:rFonts w:ascii="Arial" w:hAnsi="Arial" w:cs="Arial"/>
        </w:rPr>
        <w:t xml:space="preserve">Comisión Accidental Senado de la República: junio 19 de 2009. (Segunda Vuelta). </w:t>
      </w:r>
    </w:p>
    <w:p w:rsidR="00182A73" w:rsidRDefault="00182A73" w:rsidP="00182A73">
      <w:pPr>
        <w:pStyle w:val="NormalWeb"/>
        <w:rPr>
          <w:rFonts w:ascii="Arial" w:hAnsi="Arial" w:cs="Arial"/>
        </w:rPr>
      </w:pPr>
      <w:r>
        <w:rPr>
          <w:rFonts w:ascii="Arial" w:hAnsi="Arial" w:cs="Arial"/>
        </w:rPr>
        <w:t xml:space="preserve">Cordialmente, </w:t>
      </w:r>
    </w:p>
    <w:p w:rsidR="00182A73" w:rsidRDefault="00182A73" w:rsidP="00182A73">
      <w:pPr>
        <w:pStyle w:val="NormalWeb"/>
        <w:jc w:val="right"/>
        <w:rPr>
          <w:rFonts w:ascii="Arial" w:hAnsi="Arial" w:cs="Arial"/>
          <w:i/>
          <w:iCs/>
        </w:rPr>
      </w:pPr>
      <w:r>
        <w:rPr>
          <w:rFonts w:ascii="Arial" w:hAnsi="Arial" w:cs="Arial"/>
          <w:i/>
          <w:iCs/>
        </w:rPr>
        <w:t xml:space="preserve">Jesús Alfonso Rodríguez Camargo, </w:t>
      </w:r>
    </w:p>
    <w:p w:rsidR="00182A73" w:rsidRDefault="00182A73" w:rsidP="00182A73">
      <w:pPr>
        <w:pStyle w:val="NormalWeb"/>
        <w:jc w:val="right"/>
        <w:rPr>
          <w:rFonts w:ascii="Arial" w:hAnsi="Arial" w:cs="Arial"/>
        </w:rPr>
      </w:pPr>
      <w:r>
        <w:rPr>
          <w:rFonts w:ascii="Arial" w:hAnsi="Arial" w:cs="Arial"/>
        </w:rPr>
        <w:t xml:space="preserve">Secretario General. </w:t>
      </w:r>
    </w:p>
    <w:p w:rsidR="00182A73" w:rsidRDefault="00182A73" w:rsidP="00182A73">
      <w:pPr>
        <w:pStyle w:val="NormalWeb"/>
        <w:rPr>
          <w:rFonts w:ascii="Arial" w:hAnsi="Arial" w:cs="Arial"/>
        </w:rPr>
      </w:pPr>
      <w:r>
        <w:rPr>
          <w:rFonts w:ascii="Arial" w:hAnsi="Arial" w:cs="Arial"/>
        </w:rPr>
        <w:t>Anexo: Expediente legislativo y dos (2) textos de ley. (1.843 folios).</w:t>
      </w:r>
    </w:p>
    <w:p w:rsidR="00182A73" w:rsidRDefault="00182A73" w:rsidP="00182A73">
      <w:pPr>
        <w:pStyle w:val="NormalWeb"/>
        <w:rPr>
          <w:rFonts w:ascii="Arial" w:hAnsi="Arial" w:cs="Arial"/>
          <w:b/>
          <w:bCs/>
        </w:rPr>
      </w:pPr>
      <w:r>
        <w:rPr>
          <w:rFonts w:ascii="Arial" w:hAnsi="Arial" w:cs="Arial"/>
          <w:b/>
          <w:bCs/>
        </w:rPr>
        <w:t>NOTA: Publicado en el Diario Oficial 47.410 de julio 14 de 2009.</w:t>
      </w:r>
    </w:p>
    <w:p w:rsidR="00033CD0" w:rsidRDefault="00182A73">
      <w:r w:rsidRPr="00182A73">
        <w:t>http://www.alcaldiabogota.gov.co/sisjur/normas/Norma1.jsp?i=36844#1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836DF9"/>
    <w:rsid w:val="00033CD0"/>
    <w:rsid w:val="00182A73"/>
    <w:rsid w:val="00532CD0"/>
    <w:rsid w:val="00836DF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82A73"/>
    <w:rPr>
      <w:color w:val="0000FF"/>
      <w:u w:val="single"/>
    </w:rPr>
  </w:style>
  <w:style w:type="paragraph" w:styleId="NormalWeb">
    <w:name w:val="Normal (Web)"/>
    <w:basedOn w:val="Normal"/>
    <w:uiPriority w:val="99"/>
    <w:semiHidden/>
    <w:unhideWhenUsed/>
    <w:rsid w:val="00182A73"/>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182A73"/>
    <w:rPr>
      <w:b/>
      <w:bCs/>
    </w:rPr>
  </w:style>
</w:styles>
</file>

<file path=word/webSettings.xml><?xml version="1.0" encoding="utf-8"?>
<w:webSettings xmlns:r="http://schemas.openxmlformats.org/officeDocument/2006/relationships" xmlns:w="http://schemas.openxmlformats.org/wordprocessingml/2006/main">
  <w:divs>
    <w:div w:id="1403799177">
      <w:bodyDiv w:val="1"/>
      <w:marLeft w:val="0"/>
      <w:marRight w:val="0"/>
      <w:marTop w:val="0"/>
      <w:marBottom w:val="0"/>
      <w:divBdr>
        <w:top w:val="none" w:sz="0" w:space="0" w:color="auto"/>
        <w:left w:val="none" w:sz="0" w:space="0" w:color="auto"/>
        <w:bottom w:val="none" w:sz="0" w:space="0" w:color="auto"/>
        <w:right w:val="none" w:sz="0" w:space="0" w:color="auto"/>
      </w:divBdr>
      <w:divsChild>
        <w:div w:id="1359701428">
          <w:marLeft w:val="0"/>
          <w:marRight w:val="0"/>
          <w:marTop w:val="0"/>
          <w:marBottom w:val="0"/>
          <w:divBdr>
            <w:top w:val="none" w:sz="0" w:space="0" w:color="auto"/>
            <w:left w:val="none" w:sz="0" w:space="0" w:color="auto"/>
            <w:bottom w:val="none" w:sz="0" w:space="0" w:color="auto"/>
            <w:right w:val="none" w:sz="0" w:space="0" w:color="auto"/>
          </w:divBdr>
          <w:divsChild>
            <w:div w:id="9452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125" TargetMode="External"/><Relationship Id="rId13" Type="http://schemas.openxmlformats.org/officeDocument/2006/relationships/hyperlink" Target="http://www.alcaldiabogota.gov.co/sisjur/normas/Norma1.jsp?i=4125" TargetMode="External"/><Relationship Id="rId18" Type="http://schemas.openxmlformats.org/officeDocument/2006/relationships/hyperlink" Target="http://www.alcaldiabogota.gov.co/sisjur/normas/Norma1.jsp?i=4125"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4125" TargetMode="External"/><Relationship Id="rId12" Type="http://schemas.openxmlformats.org/officeDocument/2006/relationships/hyperlink" Target="http://www.alcaldiabogota.gov.co/sisjur/normas/Norma1.jsp?i=4125" TargetMode="External"/><Relationship Id="rId17" Type="http://schemas.openxmlformats.org/officeDocument/2006/relationships/hyperlink" Target="http://www.alcaldiabogota.gov.co/sisjur/normas/Norma1.jsp?i=4125" TargetMode="External"/><Relationship Id="rId2" Type="http://schemas.openxmlformats.org/officeDocument/2006/relationships/settings" Target="settings.xml"/><Relationship Id="rId16" Type="http://schemas.openxmlformats.org/officeDocument/2006/relationships/hyperlink" Target="http://www.alcaldiabogota.gov.co/sisjur/normas/Norma1.jsp?i=41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caldiabogota.gov.co/sisjur/normas/Norma1.jsp?i=4125" TargetMode="External"/><Relationship Id="rId11" Type="http://schemas.openxmlformats.org/officeDocument/2006/relationships/hyperlink" Target="http://www.alcaldiabogota.gov.co/sisjur/normas/Norma1.jsp?i=37224" TargetMode="External"/><Relationship Id="rId5" Type="http://schemas.openxmlformats.org/officeDocument/2006/relationships/hyperlink" Target="http://www.alcaldiabogota.gov.co/sisjur/normas/Norma1.jsp?i=4125" TargetMode="External"/><Relationship Id="rId15" Type="http://schemas.openxmlformats.org/officeDocument/2006/relationships/hyperlink" Target="http://www.alcaldiabogota.gov.co/sisjur/normas/Norma1.jsp?i=4125" TargetMode="External"/><Relationship Id="rId10" Type="http://schemas.openxmlformats.org/officeDocument/2006/relationships/hyperlink" Target="http://www.alcaldiabogota.gov.co/sisjur/normas/Norma1.jsp?i=4125" TargetMode="External"/><Relationship Id="rId19" Type="http://schemas.openxmlformats.org/officeDocument/2006/relationships/fontTable" Target="fontTable.xml"/><Relationship Id="rId4" Type="http://schemas.openxmlformats.org/officeDocument/2006/relationships/hyperlink" Target="http://www.alcaldiabogota.gov.co/sisjur/normas/Norma1.jsp?i=4125" TargetMode="External"/><Relationship Id="rId9" Type="http://schemas.openxmlformats.org/officeDocument/2006/relationships/hyperlink" Target="http://www.alcaldiabogota.gov.co/sisjur/normas/Norma1.jsp?i=4125" TargetMode="External"/><Relationship Id="rId14" Type="http://schemas.openxmlformats.org/officeDocument/2006/relationships/hyperlink" Target="http://www.alcaldiabogota.gov.co/sisjur/normas/Norma1.jsp?i=41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4210</Words>
  <Characters>23155</Characters>
  <Application>Microsoft Office Word</Application>
  <DocSecurity>0</DocSecurity>
  <Lines>192</Lines>
  <Paragraphs>54</Paragraphs>
  <ScaleCrop>false</ScaleCrop>
  <Company/>
  <LinksUpToDate>false</LinksUpToDate>
  <CharactersWithSpaces>27311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2010-07-13T02:22:00Z</dcterms:created>
  <dcterms:modified xsi:type="dcterms:W3CDTF">2010-07-13T02:28:00Z</dcterms:modified>
</cp:coreProperties>
</file>