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FB" w:rsidRDefault="008C74FB" w:rsidP="008C74FB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ACTO LEGISLATIVO 03 DE 1993</w:t>
      </w:r>
    </w:p>
    <w:p w:rsidR="008C74FB" w:rsidRDefault="008C74FB" w:rsidP="008C74FB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(DICIEMBRE 15)</w:t>
      </w:r>
    </w:p>
    <w:p w:rsidR="008C74FB" w:rsidRDefault="008C74FB" w:rsidP="008C74FB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Por el cual se adicionan los artículos 134 y 261 de la Constitución Política de Colombia.</w:t>
      </w:r>
    </w:p>
    <w:p w:rsidR="008C74FB" w:rsidRDefault="008C74FB" w:rsidP="008C74FB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Congreso de Colombia,</w:t>
      </w:r>
    </w:p>
    <w:p w:rsidR="008C74FB" w:rsidRDefault="008C74FB" w:rsidP="008C74FB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DECRETA</w:t>
      </w:r>
    </w:p>
    <w:p w:rsidR="008C74FB" w:rsidRDefault="008C74FB" w:rsidP="008C74FB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ARTICULO 1º.</w:t>
      </w:r>
      <w:r>
        <w:rPr>
          <w:rFonts w:ascii="Arial" w:hAnsi="Arial" w:cs="Arial"/>
        </w:rPr>
        <w:t xml:space="preserve"> El artículo 134 de la Constitución Nacional, quedará así:</w:t>
      </w:r>
    </w:p>
    <w:p w:rsidR="008C74FB" w:rsidRDefault="008C74FB" w:rsidP="008C74F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Las faltas absolutas o temporales de los Miembros de las Corporaciones Públicas serán suplidas por los candidatos que, según el orden de inscripción, en forma sucesiva y descendente, correspondan a la misma lista electoral.</w:t>
      </w:r>
    </w:p>
    <w:p w:rsidR="008C74FB" w:rsidRDefault="008C74FB" w:rsidP="008C74FB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ARTICULO 2º.</w:t>
      </w:r>
      <w:r>
        <w:rPr>
          <w:rFonts w:ascii="Arial" w:hAnsi="Arial" w:cs="Arial"/>
        </w:rPr>
        <w:t xml:space="preserve"> El artículo 261 de la Constitución Política, quedará así:</w:t>
      </w:r>
    </w:p>
    <w:p w:rsidR="008C74FB" w:rsidRDefault="008C74FB" w:rsidP="008C74F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Las faltas absolutas o temporales serán suplidas por los candidatos que según el orden de inscripción en forma sucesiva y descendente, correspondan a la misma lista electoral.</w:t>
      </w:r>
    </w:p>
    <w:p w:rsidR="008C74FB" w:rsidRDefault="008C74FB" w:rsidP="008C74F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Son faltas absolutas: Además de las establecidas por la ley; las que se causen por: Muerte; la renuncia motivada y aceptada por la plenaria de la respectiva Corporación; la Pérdida de la investidura; la incapacidad física permanente y la sentencia condenatoria en firme dictada por autoridad judicial competente.</w:t>
      </w:r>
    </w:p>
    <w:p w:rsidR="008C74FB" w:rsidRDefault="008C74FB" w:rsidP="008C74F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Son faltas temporales las causadas por: La suspensión del ejercicio de la investidura popular, en virtud de la decisión judicial en firme; la licencia sin remuneración; la licencia por incapacidad certificada por médico oficial; la calamidad doméstica debidamente probada y fuerza mayor.</w:t>
      </w:r>
    </w:p>
    <w:p w:rsidR="008C74FB" w:rsidRDefault="008C74FB" w:rsidP="008C74F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La licencia sin remuneración no podrá ser inferior a tres (3) meses. </w:t>
      </w:r>
    </w:p>
    <w:p w:rsidR="008C74FB" w:rsidRDefault="008C74FB" w:rsidP="008C74F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Los casos de incapacidad, calamidad doméstica y licencias no remuneradas, deberán ser </w:t>
      </w:r>
      <w:proofErr w:type="gramStart"/>
      <w:r>
        <w:rPr>
          <w:rFonts w:ascii="Arial" w:hAnsi="Arial" w:cs="Arial"/>
        </w:rPr>
        <w:t>aprobadas</w:t>
      </w:r>
      <w:proofErr w:type="gramEnd"/>
      <w:r>
        <w:rPr>
          <w:rFonts w:ascii="Arial" w:hAnsi="Arial" w:cs="Arial"/>
        </w:rPr>
        <w:t xml:space="preserve"> por la Mesa Directiva de la respectiva Corporación.</w:t>
      </w:r>
    </w:p>
    <w:p w:rsidR="008C74FB" w:rsidRDefault="008C74FB" w:rsidP="008C74FB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PARÁGRAFO 1º.</w:t>
      </w:r>
      <w:r>
        <w:rPr>
          <w:rFonts w:ascii="Arial" w:hAnsi="Arial" w:cs="Arial"/>
        </w:rPr>
        <w:t xml:space="preserve"> Las Inhabilidades e incompatibilidades previstas en la Constitución nacional y las leyes, se extenderán en igual forma a quienes asuman las funciones de las faltas temporales durante el tiempo de su asistencia.</w:t>
      </w:r>
    </w:p>
    <w:p w:rsidR="008C74FB" w:rsidRDefault="008C74FB" w:rsidP="008C74FB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PARÁGRAFO 2º.</w:t>
      </w:r>
      <w:r>
        <w:rPr>
          <w:rFonts w:ascii="Arial" w:hAnsi="Arial" w:cs="Arial"/>
        </w:rPr>
        <w:t xml:space="preserve"> El numeral 3º del artículo 180 de la Constitución, quedará así:</w:t>
      </w:r>
    </w:p>
    <w:p w:rsidR="008C74FB" w:rsidRDefault="008C74FB" w:rsidP="008C74F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Numeral 3º. Ser miembro de juntas o consejos directivos de entidades oficiales descentralizadas de cualquier nivel o de instituciones que administren tributos.</w:t>
      </w:r>
    </w:p>
    <w:p w:rsidR="008C74FB" w:rsidRDefault="008C74FB" w:rsidP="008C74FB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ARTICULO 3º.</w:t>
      </w:r>
      <w:r>
        <w:rPr>
          <w:rFonts w:ascii="Arial" w:hAnsi="Arial" w:cs="Arial"/>
        </w:rPr>
        <w:t xml:space="preserve"> Este Acto rige a partir de su promulgación.</w:t>
      </w:r>
    </w:p>
    <w:p w:rsidR="008C74FB" w:rsidRDefault="008C74FB" w:rsidP="008C74F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El Presidente del honorable Senado de la República,</w:t>
      </w:r>
    </w:p>
    <w:p w:rsidR="008C74FB" w:rsidRDefault="008C74FB" w:rsidP="008C74FB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JORGE RAMON ELIAS NADER</w:t>
      </w:r>
    </w:p>
    <w:p w:rsidR="008C74FB" w:rsidRDefault="008C74FB" w:rsidP="008C74F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Secretario General del honorable Senado de la República,</w:t>
      </w:r>
    </w:p>
    <w:p w:rsidR="008C74FB" w:rsidRDefault="008C74FB" w:rsidP="008C74FB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PEDRO PUMAREJO VEGA.</w:t>
      </w:r>
    </w:p>
    <w:p w:rsidR="008C74FB" w:rsidRDefault="008C74FB" w:rsidP="008C74F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Presidente de la honorable Cámara de Representantes,</w:t>
      </w:r>
    </w:p>
    <w:p w:rsidR="008C74FB" w:rsidRDefault="008C74FB" w:rsidP="008C74FB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FRANCISCO JOSE JATTIN SAFAR</w:t>
      </w:r>
    </w:p>
    <w:p w:rsidR="008C74FB" w:rsidRDefault="008C74FB" w:rsidP="008C74F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Secretario General de la honorable Cámara de Representantes,</w:t>
      </w:r>
    </w:p>
    <w:p w:rsidR="008C74FB" w:rsidRDefault="008C74FB" w:rsidP="008C74FB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DIEGO VIVAS TAFUR</w:t>
      </w:r>
    </w:p>
    <w:p w:rsidR="008C74FB" w:rsidRDefault="008C74FB" w:rsidP="008C74FB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REPUBLICA DE </w:t>
      </w:r>
      <w:proofErr w:type="gramStart"/>
      <w:r>
        <w:rPr>
          <w:rFonts w:ascii="Arial" w:hAnsi="Arial" w:cs="Arial"/>
          <w:b/>
          <w:bCs/>
        </w:rPr>
        <w:t>COLOMBIA .</w:t>
      </w:r>
      <w:proofErr w:type="gramEnd"/>
      <w:r>
        <w:rPr>
          <w:rFonts w:ascii="Arial" w:hAnsi="Arial" w:cs="Arial"/>
          <w:b/>
          <w:bCs/>
        </w:rPr>
        <w:t xml:space="preserve"> GOBIERNO NACIONAL</w:t>
      </w:r>
    </w:p>
    <w:p w:rsidR="008C74FB" w:rsidRDefault="008C74FB" w:rsidP="008C74F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Publíquese y ejecútese.</w:t>
      </w:r>
    </w:p>
    <w:p w:rsidR="008C74FB" w:rsidRDefault="008C74FB" w:rsidP="008C74F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Dada en Santafé de Bogotá, D.C., a 15 de diciembre de 1|993.</w:t>
      </w:r>
    </w:p>
    <w:p w:rsidR="008C74FB" w:rsidRDefault="008C74FB" w:rsidP="008C74FB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CESAR GAVIRIA TRUJILLO</w:t>
      </w:r>
    </w:p>
    <w:p w:rsidR="008C74FB" w:rsidRDefault="008C74FB" w:rsidP="008C74F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Ministro de Gobierno.</w:t>
      </w:r>
    </w:p>
    <w:p w:rsidR="008C74FB" w:rsidRDefault="008C74FB" w:rsidP="008C74FB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Fabio Villegas Ramírez</w:t>
      </w:r>
    </w:p>
    <w:p w:rsidR="008C74FB" w:rsidRDefault="008C74FB" w:rsidP="008C74F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Diario Oficial No. 41.140 del 16 de diciembre de 1993.</w:t>
      </w:r>
    </w:p>
    <w:p w:rsidR="00033CD0" w:rsidRDefault="008C74FB">
      <w:r w:rsidRPr="008C74FB">
        <w:t>http://www.alcaldiabogota.gov.co/sisjur/normas/Norma1.jsp?i=4128#1</w:t>
      </w:r>
    </w:p>
    <w:sectPr w:rsidR="00033CD0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1"/>
  <w:proofState w:spelling="clean" w:grammar="clean"/>
  <w:defaultTabStop w:val="708"/>
  <w:hyphenationZone w:val="425"/>
  <w:characterSpacingControl w:val="doNotCompress"/>
  <w:compat/>
  <w:rsids>
    <w:rsidRoot w:val="00C779B9"/>
    <w:rsid w:val="00033CD0"/>
    <w:rsid w:val="00532CD0"/>
    <w:rsid w:val="008C74FB"/>
    <w:rsid w:val="00C77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74FB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2010-07-13T03:06:00Z</dcterms:created>
  <dcterms:modified xsi:type="dcterms:W3CDTF">2010-07-13T03:07:00Z</dcterms:modified>
</cp:coreProperties>
</file>