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40" w:rsidRDefault="00CC0E40" w:rsidP="00CC0E4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01 DE 1999</w:t>
      </w:r>
    </w:p>
    <w:p w:rsidR="00CC0E40" w:rsidRDefault="00CC0E40" w:rsidP="00CC0E4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julio</w:t>
      </w:r>
      <w:proofErr w:type="gramEnd"/>
      <w:r>
        <w:rPr>
          <w:rFonts w:ascii="Arial" w:hAnsi="Arial" w:cs="Arial"/>
        </w:rPr>
        <w:t xml:space="preserve"> 30)</w:t>
      </w:r>
    </w:p>
    <w:p w:rsidR="00CC0E40" w:rsidRDefault="00CC0E40" w:rsidP="00CC0E40">
      <w:pPr>
        <w:pStyle w:val="NormalWeb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el cual se reforma el artículo 58 de la Constitución Política.</w:t>
      </w:r>
    </w:p>
    <w:p w:rsidR="00CC0E40" w:rsidRDefault="00CC0E40" w:rsidP="00CC0E4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El Congreso de Colombia</w:t>
      </w:r>
    </w:p>
    <w:p w:rsidR="00CC0E40" w:rsidRDefault="00CC0E40" w:rsidP="00CC0E4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DECRETA: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Artículo 1º. El artículo 58 de la Constitución Política, quedará así: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Artículo 58. Se garantizan la propiedad privada y los demás derechos adquiridos con arreglo a las leyes civiles, los cuales no pueden ser desconocidos ni vulnerados por leyes posteriores. Cuando de la aplicación de una ley expedida por motivos de utilidad pública o interés social, resultaren en conflicto los derechos de los particulares con la necesidad por ella reconocida, el interés privado deberá ceder al interés público o social.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propiedad es una función social que implica obligaciones. Como tal, le es inherente una función ecológica.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Estado protegerá y promoverá las formas asociativas y solidarias de propiedad.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Por motivos de utilidad pública o de interés social definidos por el legislador, podrá haber expropiación mediante sentencia judicial e indemnización previa. Esta se fijará consultando los intereses de la comunidad y del afectado. En los casos que determine el legislador, dicha expropiación podrá adelantarse por vía administrativa, sujeta a posterior acción contenciosa-administrativa, incluso respecto del precio.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Artículo 2º. El presente acto legislativo rige a partir de su promulgación.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Fabio Valencia </w:t>
      </w:r>
      <w:proofErr w:type="spellStart"/>
      <w:r>
        <w:rPr>
          <w:rFonts w:ascii="Arial" w:hAnsi="Arial" w:cs="Arial"/>
        </w:rPr>
        <w:t>Cossio</w:t>
      </w:r>
      <w:proofErr w:type="spellEnd"/>
      <w:r>
        <w:rPr>
          <w:rFonts w:ascii="Arial" w:hAnsi="Arial" w:cs="Arial"/>
        </w:rPr>
        <w:t>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Manuel Enríquez Rosero.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honorable Cámara de Representantes,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Emilio Martínez Rosales.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Gustavo Bustamante </w:t>
      </w:r>
      <w:proofErr w:type="spellStart"/>
      <w:r>
        <w:rPr>
          <w:rFonts w:ascii="Arial" w:hAnsi="Arial" w:cs="Arial"/>
        </w:rPr>
        <w:t>Moratto</w:t>
      </w:r>
      <w:proofErr w:type="spellEnd"/>
      <w:r>
        <w:rPr>
          <w:rFonts w:ascii="Arial" w:hAnsi="Arial" w:cs="Arial"/>
        </w:rPr>
        <w:t>.</w:t>
      </w:r>
    </w:p>
    <w:p w:rsidR="00CC0E40" w:rsidRDefault="00CC0E40" w:rsidP="00CC0E4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REPUBLICA DE COLOMBIA - GOBIERNO NACIONAL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ejecútese.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Dado en Santa Fe de Bogotá, D. C., a 30 de julio de 1999.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ANDRES PASTRANA ARANGO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del Interior,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Néstor Humberto Martínez Neira.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 Relaciones Exteriores,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Guillermo Fernández de Soto.</w:t>
      </w:r>
    </w:p>
    <w:p w:rsidR="00CC0E40" w:rsidRDefault="00CC0E40" w:rsidP="00CC0E4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DIARIO OFICIAL. AÑO CXXXV. N. 43654. 4, AGOSTO, 1999. 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6A74"/>
    <w:rsid w:val="00033CD0"/>
    <w:rsid w:val="00622087"/>
    <w:rsid w:val="00B221EC"/>
    <w:rsid w:val="00CC0E40"/>
    <w:rsid w:val="00D54394"/>
    <w:rsid w:val="00FB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E40"/>
    <w:pPr>
      <w:spacing w:before="100" w:beforeAutospacing="1" w:after="100" w:afterAutospacing="1"/>
      <w:jc w:val="left"/>
    </w:pPr>
    <w:rPr>
      <w:rFonts w:eastAsia="Times New Roman" w:cs="Times New Roman"/>
      <w:color w:val="000080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1686</Characters>
  <Application>Microsoft Office Word</Application>
  <DocSecurity>0</DocSecurity>
  <Lines>14</Lines>
  <Paragraphs>3</Paragraphs>
  <ScaleCrop>false</ScaleCrop>
  <Company>Your Company Name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2011-02-20T02:32:00Z</dcterms:created>
  <dcterms:modified xsi:type="dcterms:W3CDTF">2011-02-20T02:33:00Z</dcterms:modified>
</cp:coreProperties>
</file>