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237" w:rsidRDefault="009A6237" w:rsidP="009A6237">
      <w:pPr>
        <w:pStyle w:val="NormalWeb"/>
        <w:jc w:val="center"/>
        <w:rPr>
          <w:rFonts w:ascii="Arial" w:hAnsi="Arial" w:cs="Arial"/>
          <w:b/>
          <w:bCs/>
        </w:rPr>
      </w:pPr>
      <w:r>
        <w:rPr>
          <w:rFonts w:ascii="Arial" w:hAnsi="Arial" w:cs="Arial"/>
          <w:b/>
          <w:bCs/>
        </w:rPr>
        <w:t>ACTO LEGISLATIVO 03 DE 2002</w:t>
      </w:r>
    </w:p>
    <w:p w:rsidR="009A6237" w:rsidRDefault="009A6237" w:rsidP="009A6237">
      <w:pPr>
        <w:pStyle w:val="NormalWeb"/>
        <w:jc w:val="center"/>
        <w:rPr>
          <w:rFonts w:ascii="Arial" w:hAnsi="Arial" w:cs="Arial"/>
          <w:b/>
          <w:bCs/>
        </w:rPr>
      </w:pPr>
      <w:r>
        <w:rPr>
          <w:rFonts w:ascii="Arial" w:hAnsi="Arial" w:cs="Arial"/>
          <w:b/>
          <w:bCs/>
        </w:rPr>
        <w:t>(Diciembre 19)</w:t>
      </w:r>
    </w:p>
    <w:p w:rsidR="009A6237" w:rsidRDefault="009A6237" w:rsidP="009A6237">
      <w:pPr>
        <w:pStyle w:val="NormalWeb"/>
        <w:jc w:val="center"/>
        <w:rPr>
          <w:rFonts w:ascii="Arial" w:hAnsi="Arial" w:cs="Arial"/>
          <w:b/>
          <w:bCs/>
        </w:rPr>
      </w:pPr>
      <w:r>
        <w:rPr>
          <w:rFonts w:ascii="Arial" w:hAnsi="Arial" w:cs="Arial"/>
          <w:b/>
          <w:bCs/>
        </w:rPr>
        <w:t xml:space="preserve">"Por el cual se reforma la Constitución Nacional". </w:t>
      </w:r>
    </w:p>
    <w:p w:rsidR="009A6237" w:rsidRDefault="009A6237" w:rsidP="009A6237">
      <w:pPr>
        <w:pStyle w:val="NormalWeb"/>
        <w:jc w:val="center"/>
        <w:rPr>
          <w:rFonts w:ascii="Arial" w:hAnsi="Arial" w:cs="Arial"/>
          <w:b/>
          <w:bCs/>
        </w:rPr>
      </w:pPr>
      <w:r>
        <w:rPr>
          <w:rFonts w:ascii="Arial" w:hAnsi="Arial" w:cs="Arial"/>
          <w:b/>
          <w:bCs/>
        </w:rPr>
        <w:t>EL CONGRESO DE COLOMBIA</w:t>
      </w:r>
    </w:p>
    <w:p w:rsidR="009A6237" w:rsidRDefault="009A6237" w:rsidP="009A6237">
      <w:pPr>
        <w:pStyle w:val="NormalWeb"/>
        <w:jc w:val="center"/>
        <w:rPr>
          <w:rFonts w:ascii="Arial" w:hAnsi="Arial" w:cs="Arial"/>
          <w:b/>
          <w:bCs/>
        </w:rPr>
      </w:pPr>
      <w:r>
        <w:rPr>
          <w:rFonts w:ascii="Arial" w:hAnsi="Arial" w:cs="Arial"/>
          <w:b/>
          <w:bCs/>
        </w:rPr>
        <w:t>DECRETA:</w:t>
      </w:r>
    </w:p>
    <w:p w:rsidR="009A6237" w:rsidRDefault="009A6237" w:rsidP="009A6237">
      <w:pPr>
        <w:pStyle w:val="NormalWeb"/>
        <w:rPr>
          <w:rFonts w:ascii="Arial" w:hAnsi="Arial" w:cs="Arial"/>
        </w:rPr>
      </w:pPr>
      <w:r>
        <w:rPr>
          <w:rFonts w:ascii="Arial" w:hAnsi="Arial" w:cs="Arial"/>
          <w:b/>
          <w:bCs/>
        </w:rPr>
        <w:t>Artículo 1°.</w:t>
      </w:r>
      <w:r>
        <w:rPr>
          <w:rFonts w:ascii="Arial" w:hAnsi="Arial" w:cs="Arial"/>
        </w:rPr>
        <w:t xml:space="preserve"> El artículo 116 de la Constitución Política quedará así:</w:t>
      </w:r>
    </w:p>
    <w:p w:rsidR="009A6237" w:rsidRDefault="009A6237" w:rsidP="009A6237">
      <w:pPr>
        <w:pStyle w:val="NormalWeb"/>
        <w:rPr>
          <w:rFonts w:ascii="Arial" w:hAnsi="Arial" w:cs="Arial"/>
        </w:rPr>
      </w:pPr>
      <w:r>
        <w:rPr>
          <w:rFonts w:ascii="Arial" w:hAnsi="Arial" w:cs="Arial"/>
        </w:rPr>
        <w:t>Artículo 116. La Corte Constitucional, la Corte Suprema de Justicia, el Consejo de Estado, el Consejo Superior de la Judicatura, la Fiscalía General de la Nación, los Tribunales y los Jueces, administran Justicia. También lo hace la Justicia Penal Militar.</w:t>
      </w:r>
    </w:p>
    <w:p w:rsidR="009A6237" w:rsidRDefault="009A6237" w:rsidP="009A6237">
      <w:pPr>
        <w:pStyle w:val="NormalWeb"/>
        <w:rPr>
          <w:rFonts w:ascii="Arial" w:hAnsi="Arial" w:cs="Arial"/>
        </w:rPr>
      </w:pPr>
      <w:r>
        <w:rPr>
          <w:rFonts w:ascii="Arial" w:hAnsi="Arial" w:cs="Arial"/>
        </w:rPr>
        <w:t>El Congreso ejercerá determinadas funciones judiciales.</w:t>
      </w:r>
    </w:p>
    <w:p w:rsidR="009A6237" w:rsidRDefault="009A6237" w:rsidP="009A6237">
      <w:pPr>
        <w:pStyle w:val="NormalWeb"/>
        <w:rPr>
          <w:rFonts w:ascii="Arial" w:hAnsi="Arial" w:cs="Arial"/>
        </w:rPr>
      </w:pPr>
      <w:r>
        <w:rPr>
          <w:rFonts w:ascii="Arial" w:hAnsi="Arial" w:cs="Arial"/>
        </w:rPr>
        <w:t>Excepcionalmente la ley podrá atribuir función jurisdiccional en materias precisas a determinadas autoridades administrativas. Sin embargo no les será permitido adelantar la instrucción de sumarios ni juzgar delitos.</w:t>
      </w:r>
    </w:p>
    <w:p w:rsidR="009A6237" w:rsidRDefault="009A6237" w:rsidP="009A6237">
      <w:pPr>
        <w:pStyle w:val="NormalWeb"/>
        <w:rPr>
          <w:rFonts w:ascii="Arial" w:hAnsi="Arial" w:cs="Arial"/>
        </w:rPr>
      </w:pPr>
      <w:r>
        <w:rPr>
          <w:rFonts w:ascii="Arial" w:hAnsi="Arial" w:cs="Arial"/>
        </w:rPr>
        <w:t>Los particulares pueden ser investidos transitoriamente de la función de administrar justicia en la condición de jurados en las causas criminales, conciliadores o en la de árbitros habilitados por las partes para proferir fallos en derecho o en equidad, en los términos que determine la ley.</w:t>
      </w:r>
    </w:p>
    <w:p w:rsidR="009A6237" w:rsidRDefault="009A6237" w:rsidP="009A6237">
      <w:pPr>
        <w:pStyle w:val="NormalWeb"/>
        <w:rPr>
          <w:rFonts w:ascii="Arial" w:hAnsi="Arial" w:cs="Arial"/>
        </w:rPr>
      </w:pPr>
      <w:r>
        <w:rPr>
          <w:rFonts w:ascii="Arial" w:hAnsi="Arial" w:cs="Arial"/>
          <w:b/>
          <w:bCs/>
        </w:rPr>
        <w:t>Artículo 2°.</w:t>
      </w:r>
      <w:r>
        <w:rPr>
          <w:rFonts w:ascii="Arial" w:hAnsi="Arial" w:cs="Arial"/>
        </w:rPr>
        <w:t xml:space="preserve"> El artículo 250 de la Constitución Política quedará así:</w:t>
      </w:r>
    </w:p>
    <w:p w:rsidR="009A6237" w:rsidRDefault="009A6237" w:rsidP="009A6237">
      <w:pPr>
        <w:pStyle w:val="NormalWeb"/>
        <w:rPr>
          <w:rFonts w:ascii="Arial" w:hAnsi="Arial" w:cs="Arial"/>
        </w:rPr>
      </w:pPr>
      <w:r>
        <w:rPr>
          <w:rFonts w:ascii="Arial" w:hAnsi="Arial" w:cs="Arial"/>
        </w:rPr>
        <w:t>Artículo 250. La Fiscalía General de la Nación está obligada a adelantar el ejercicio de la acción penal y realizar la investigación de los hechos que revistan las características de un delito que lleguen a su conocimiento por medio de denuncia, petición especial, querella o de oficio, siempre y cuando medien suficientes motivos y circunstancias fácticas que indiquen la posible existencia del mismo. No podrá, en consecuencia, suspender, interrumpir, ni renunciar a la persecución penal, salvo en los casos que establezca la ley para la aplicación del principio de oportunidad regulado dentro del marco de la política criminal del Estado, el cual estará sometido al control de legalidad por parte del juez que ejerza las funciones de control de garantías. Se exceptúan los delitos cometidos por Miembros de la Fuerza Pública en servicio activo y en relación con el mismo servicio.</w:t>
      </w:r>
    </w:p>
    <w:p w:rsidR="009A6237" w:rsidRDefault="009A6237" w:rsidP="009A6237">
      <w:pPr>
        <w:pStyle w:val="NormalWeb"/>
        <w:rPr>
          <w:rFonts w:ascii="Arial" w:hAnsi="Arial" w:cs="Arial"/>
        </w:rPr>
      </w:pPr>
      <w:r>
        <w:rPr>
          <w:rFonts w:ascii="Arial" w:hAnsi="Arial" w:cs="Arial"/>
        </w:rPr>
        <w:t>En ejercicio de sus funciones la Fiscalía General de la Nación, deberá:</w:t>
      </w:r>
    </w:p>
    <w:p w:rsidR="009A6237" w:rsidRDefault="009A6237" w:rsidP="009A6237">
      <w:pPr>
        <w:pStyle w:val="NormalWeb"/>
        <w:rPr>
          <w:rFonts w:ascii="Arial" w:hAnsi="Arial" w:cs="Arial"/>
        </w:rPr>
      </w:pPr>
      <w:r>
        <w:rPr>
          <w:rFonts w:ascii="Arial" w:hAnsi="Arial" w:cs="Arial"/>
        </w:rPr>
        <w:t>1. Solicitar al juez que ejerza las funciones de control de garantías las medidas necesarias que aseguren la comparecencia de los imputados al proceso penal, la conservación de la prueba y la protección de la comunidad, en especial, de las víctimas.</w:t>
      </w:r>
    </w:p>
    <w:p w:rsidR="009A6237" w:rsidRDefault="009A6237" w:rsidP="009A6237">
      <w:pPr>
        <w:pStyle w:val="NormalWeb"/>
        <w:rPr>
          <w:rFonts w:ascii="Arial" w:hAnsi="Arial" w:cs="Arial"/>
        </w:rPr>
      </w:pPr>
      <w:r>
        <w:rPr>
          <w:rFonts w:ascii="Arial" w:hAnsi="Arial" w:cs="Arial"/>
        </w:rPr>
        <w:lastRenderedPageBreak/>
        <w:t>El juez que ejerza las funciones de control de garantías, no podrá ser, en ningún caso, el juez de conocimiento, en aquellos asuntos en que haya ejercido esta función.</w:t>
      </w:r>
    </w:p>
    <w:p w:rsidR="009A6237" w:rsidRDefault="009A6237" w:rsidP="009A6237">
      <w:pPr>
        <w:pStyle w:val="NormalWeb"/>
        <w:rPr>
          <w:rFonts w:ascii="Arial" w:hAnsi="Arial" w:cs="Arial"/>
        </w:rPr>
      </w:pPr>
      <w:r>
        <w:rPr>
          <w:rFonts w:ascii="Arial" w:hAnsi="Arial" w:cs="Arial"/>
        </w:rPr>
        <w:t>La ley podrá facultar a la Fiscalía General de la Nación para realizar excepcionalmente capturas; igualmente, la ley fijará los límites y eventos en que proceda la captura. En estos casos el juez que cumpla la función de control de garantías lo realizará a más tardar dentro de las treinta y seis (36) horas siguientes.</w:t>
      </w:r>
    </w:p>
    <w:p w:rsidR="009A6237" w:rsidRDefault="009A6237" w:rsidP="009A6237">
      <w:pPr>
        <w:pStyle w:val="NormalWeb"/>
        <w:rPr>
          <w:rFonts w:ascii="Arial" w:hAnsi="Arial" w:cs="Arial"/>
        </w:rPr>
      </w:pPr>
      <w:r>
        <w:rPr>
          <w:rFonts w:ascii="Arial" w:hAnsi="Arial" w:cs="Arial"/>
        </w:rPr>
        <w:t>2. Adelantar registros, allanamientos, incautaciones e interceptaciones de comunicaciones. En estos eventos el juez que ejerza las funciones de control de garantías efectuará el control posterior respectivo, a más tardar dentro de las treinta y seis (36) horas siguientes, al solo efecto de determinar su validez.</w:t>
      </w:r>
    </w:p>
    <w:p w:rsidR="009A6237" w:rsidRDefault="009A6237" w:rsidP="009A6237">
      <w:pPr>
        <w:pStyle w:val="NormalWeb"/>
        <w:rPr>
          <w:rFonts w:ascii="Arial" w:hAnsi="Arial" w:cs="Arial"/>
        </w:rPr>
      </w:pPr>
      <w:r>
        <w:rPr>
          <w:rFonts w:ascii="Arial" w:hAnsi="Arial" w:cs="Arial"/>
        </w:rPr>
        <w:t>3. Asegurar los elementos materiales probatorios, garantizando la cadena de custodia mientras se ejerce su contradicción. En caso de requerirse medidas adicionales que impliquen afectación de derechos fundamentales, deberá obtenerse la respectiva autorización por parte del juez que ejerza las funciones de control de garantías para poder proceder a ello.</w:t>
      </w:r>
    </w:p>
    <w:p w:rsidR="009A6237" w:rsidRDefault="009A6237" w:rsidP="009A6237">
      <w:pPr>
        <w:pStyle w:val="NormalWeb"/>
        <w:rPr>
          <w:rFonts w:ascii="Arial" w:hAnsi="Arial" w:cs="Arial"/>
        </w:rPr>
      </w:pPr>
      <w:r>
        <w:rPr>
          <w:rFonts w:ascii="Arial" w:hAnsi="Arial" w:cs="Arial"/>
        </w:rPr>
        <w:t>4. Presentar escrito de acusación ante el juez de conocimiento, con el fin de dar inicio a un juicio público, oral, con inmediación de las pruebas, contradictorio, concentrado y con todas las garantías.</w:t>
      </w:r>
    </w:p>
    <w:p w:rsidR="009A6237" w:rsidRDefault="009A6237" w:rsidP="009A6237">
      <w:pPr>
        <w:pStyle w:val="NormalWeb"/>
        <w:rPr>
          <w:rFonts w:ascii="Arial" w:hAnsi="Arial" w:cs="Arial"/>
        </w:rPr>
      </w:pPr>
      <w:r>
        <w:rPr>
          <w:rFonts w:ascii="Arial" w:hAnsi="Arial" w:cs="Arial"/>
        </w:rPr>
        <w:t>5. Solicitar ante el juez de conocimiento la preclusión de las investigaciones cuando según lo dispuesto en la ley no hubiere mérito para acusar.</w:t>
      </w:r>
    </w:p>
    <w:p w:rsidR="009A6237" w:rsidRDefault="009A6237" w:rsidP="009A6237">
      <w:pPr>
        <w:pStyle w:val="NormalWeb"/>
        <w:rPr>
          <w:rFonts w:ascii="Arial" w:hAnsi="Arial" w:cs="Arial"/>
        </w:rPr>
      </w:pPr>
      <w:r>
        <w:rPr>
          <w:rFonts w:ascii="Arial" w:hAnsi="Arial" w:cs="Arial"/>
        </w:rPr>
        <w:t>6. Solicitar ante el juez de conocimiento las medidas judiciales necesarias para la asistencia a las víctimas, lo mismo que disponer el restablecimiento del derecho y la reparación integral a los afectados con el delito.</w:t>
      </w:r>
    </w:p>
    <w:p w:rsidR="009A6237" w:rsidRDefault="009A6237" w:rsidP="009A6237">
      <w:pPr>
        <w:pStyle w:val="NormalWeb"/>
        <w:rPr>
          <w:rFonts w:ascii="Arial" w:hAnsi="Arial" w:cs="Arial"/>
        </w:rPr>
      </w:pPr>
      <w:r>
        <w:rPr>
          <w:rFonts w:ascii="Arial" w:hAnsi="Arial" w:cs="Arial"/>
        </w:rPr>
        <w:t>7. Velar por la protección de las víctimas, los jurados, los testigos y demás intervinientes en el proceso penal, la ley fijará los términos en que podrán intervenir las víctimas en el proceso penal y los mecanismos de justicia restaurativa.</w:t>
      </w:r>
    </w:p>
    <w:p w:rsidR="009A6237" w:rsidRDefault="009A6237" w:rsidP="009A6237">
      <w:pPr>
        <w:pStyle w:val="NormalWeb"/>
        <w:rPr>
          <w:rFonts w:ascii="Arial" w:hAnsi="Arial" w:cs="Arial"/>
        </w:rPr>
      </w:pPr>
      <w:r>
        <w:rPr>
          <w:rFonts w:ascii="Arial" w:hAnsi="Arial" w:cs="Arial"/>
        </w:rPr>
        <w:t>8. Dirigir y coordinar las funciones de policía Judicial que en forma permanente cumple la Policía Nacional y los demás organismos que señale la ley.</w:t>
      </w:r>
    </w:p>
    <w:p w:rsidR="009A6237" w:rsidRDefault="009A6237" w:rsidP="009A6237">
      <w:pPr>
        <w:pStyle w:val="NormalWeb"/>
        <w:rPr>
          <w:rFonts w:ascii="Arial" w:hAnsi="Arial" w:cs="Arial"/>
        </w:rPr>
      </w:pPr>
      <w:r>
        <w:rPr>
          <w:rFonts w:ascii="Arial" w:hAnsi="Arial" w:cs="Arial"/>
        </w:rPr>
        <w:t>9. Cumplir las demás funciones que establezca la ley.</w:t>
      </w:r>
    </w:p>
    <w:p w:rsidR="009A6237" w:rsidRDefault="009A6237" w:rsidP="009A6237">
      <w:pPr>
        <w:pStyle w:val="NormalWeb"/>
        <w:rPr>
          <w:rFonts w:ascii="Arial" w:hAnsi="Arial" w:cs="Arial"/>
        </w:rPr>
      </w:pPr>
      <w:r>
        <w:rPr>
          <w:rFonts w:ascii="Arial" w:hAnsi="Arial" w:cs="Arial"/>
        </w:rPr>
        <w:t>El Fiscal General y sus delegados tienen competencia en todo el territorio nacional.</w:t>
      </w:r>
    </w:p>
    <w:p w:rsidR="009A6237" w:rsidRDefault="009A6237" w:rsidP="009A6237">
      <w:pPr>
        <w:pStyle w:val="NormalWeb"/>
        <w:rPr>
          <w:rFonts w:ascii="Arial" w:hAnsi="Arial" w:cs="Arial"/>
        </w:rPr>
      </w:pPr>
      <w:r>
        <w:rPr>
          <w:rFonts w:ascii="Arial" w:hAnsi="Arial" w:cs="Arial"/>
        </w:rPr>
        <w:t xml:space="preserve">En el evento de presentarse escrito de acusación, el Fiscal General o sus delegados deberán suministrar, por conducto del juez de conocimiento, todos los elementos probatorios e informaciones de que tenga </w:t>
      </w:r>
      <w:proofErr w:type="gramStart"/>
      <w:r>
        <w:rPr>
          <w:rFonts w:ascii="Arial" w:hAnsi="Arial" w:cs="Arial"/>
        </w:rPr>
        <w:t>noticia incluidos</w:t>
      </w:r>
      <w:proofErr w:type="gramEnd"/>
      <w:r>
        <w:rPr>
          <w:rFonts w:ascii="Arial" w:hAnsi="Arial" w:cs="Arial"/>
        </w:rPr>
        <w:t xml:space="preserve"> los que le sean favorables al procesado.</w:t>
      </w:r>
    </w:p>
    <w:p w:rsidR="009A6237" w:rsidRDefault="009A6237" w:rsidP="009A6237">
      <w:pPr>
        <w:pStyle w:val="NormalWeb"/>
        <w:rPr>
          <w:rFonts w:ascii="Arial" w:hAnsi="Arial" w:cs="Arial"/>
        </w:rPr>
      </w:pPr>
      <w:r>
        <w:rPr>
          <w:rFonts w:ascii="Arial" w:hAnsi="Arial" w:cs="Arial"/>
          <w:b/>
          <w:bCs/>
        </w:rPr>
        <w:lastRenderedPageBreak/>
        <w:t>Parágrafo.</w:t>
      </w:r>
      <w:r>
        <w:rPr>
          <w:rFonts w:ascii="Arial" w:hAnsi="Arial" w:cs="Arial"/>
        </w:rPr>
        <w:t xml:space="preserve"> La Procuraduría General de la Nación continuará cumpliendo en el nuevo sistema de indagación, investigación y juzgamiento penal, las funciones contempladas en el artículo 277 de la Constitución Nacional.</w:t>
      </w:r>
    </w:p>
    <w:p w:rsidR="009A6237" w:rsidRDefault="009A6237" w:rsidP="009A6237">
      <w:pPr>
        <w:pStyle w:val="NormalWeb"/>
        <w:rPr>
          <w:rFonts w:ascii="Arial" w:hAnsi="Arial" w:cs="Arial"/>
        </w:rPr>
      </w:pPr>
      <w:r>
        <w:rPr>
          <w:rFonts w:ascii="Arial" w:hAnsi="Arial" w:cs="Arial"/>
          <w:b/>
          <w:bCs/>
        </w:rPr>
        <w:t>Artículo 3°.</w:t>
      </w:r>
      <w:r>
        <w:rPr>
          <w:rFonts w:ascii="Arial" w:hAnsi="Arial" w:cs="Arial"/>
        </w:rPr>
        <w:t xml:space="preserve"> El artículo 251 de la Constitución Política quedará así:</w:t>
      </w:r>
    </w:p>
    <w:p w:rsidR="009A6237" w:rsidRDefault="009A6237" w:rsidP="009A6237">
      <w:pPr>
        <w:pStyle w:val="NormalWeb"/>
        <w:rPr>
          <w:rFonts w:ascii="Arial" w:hAnsi="Arial" w:cs="Arial"/>
        </w:rPr>
      </w:pPr>
      <w:r>
        <w:rPr>
          <w:rFonts w:ascii="Arial" w:hAnsi="Arial" w:cs="Arial"/>
        </w:rPr>
        <w:t>Artículo 251. Son funciones especiales del Fiscal General de la Nación:</w:t>
      </w:r>
    </w:p>
    <w:p w:rsidR="009A6237" w:rsidRDefault="009A6237" w:rsidP="009A6237">
      <w:pPr>
        <w:pStyle w:val="NormalWeb"/>
        <w:rPr>
          <w:rFonts w:ascii="Arial" w:hAnsi="Arial" w:cs="Arial"/>
        </w:rPr>
      </w:pPr>
      <w:r>
        <w:rPr>
          <w:rFonts w:ascii="Arial" w:hAnsi="Arial" w:cs="Arial"/>
        </w:rPr>
        <w:t>1. Investigar y acusar, si hubiere lugar, a los altos servidores que gocen de fuero constitucional, con las excepciones previstas en la Constitución.</w:t>
      </w:r>
    </w:p>
    <w:p w:rsidR="009A6237" w:rsidRDefault="009A6237" w:rsidP="009A6237">
      <w:pPr>
        <w:pStyle w:val="NormalWeb"/>
        <w:rPr>
          <w:rFonts w:ascii="Arial" w:hAnsi="Arial" w:cs="Arial"/>
        </w:rPr>
      </w:pPr>
      <w:r>
        <w:rPr>
          <w:rFonts w:ascii="Arial" w:hAnsi="Arial" w:cs="Arial"/>
        </w:rPr>
        <w:t>2. Nombrar y remover, de conformidad con la ley, a los servidores bajo su dependencia.</w:t>
      </w:r>
    </w:p>
    <w:p w:rsidR="009A6237" w:rsidRDefault="009A6237" w:rsidP="009A6237">
      <w:pPr>
        <w:pStyle w:val="NormalWeb"/>
        <w:rPr>
          <w:rFonts w:ascii="Arial" w:hAnsi="Arial" w:cs="Arial"/>
        </w:rPr>
      </w:pPr>
      <w:r>
        <w:rPr>
          <w:rFonts w:ascii="Arial" w:hAnsi="Arial" w:cs="Arial"/>
        </w:rPr>
        <w:t>3. Asumir directamente las investigaciones y procesos, cualquiera que sea el estado en que se encuentren, lo mismo que asignar y desplazar libremente a sus servidores en las investigaciones y procesos. Igualmente, en virtud de los principios de unidad de gestión y de jerarquía, determinar el criterio y la posición que la Fiscalía deba asumir, sin perjuicio de la autonomía de los fiscales delegados en los términos y condiciones fijados por la ley.</w:t>
      </w:r>
    </w:p>
    <w:p w:rsidR="009A6237" w:rsidRDefault="009A6237" w:rsidP="009A6237">
      <w:pPr>
        <w:pStyle w:val="NormalWeb"/>
        <w:rPr>
          <w:rFonts w:ascii="Arial" w:hAnsi="Arial" w:cs="Arial"/>
        </w:rPr>
      </w:pPr>
      <w:r>
        <w:rPr>
          <w:rFonts w:ascii="Arial" w:hAnsi="Arial" w:cs="Arial"/>
        </w:rPr>
        <w:t>4. Participar en el diseño de la política del Estado en materia criminal y presentar proyectos de ley al respecto.</w:t>
      </w:r>
    </w:p>
    <w:p w:rsidR="009A6237" w:rsidRDefault="009A6237" w:rsidP="009A6237">
      <w:pPr>
        <w:pStyle w:val="NormalWeb"/>
        <w:rPr>
          <w:rFonts w:ascii="Arial" w:hAnsi="Arial" w:cs="Arial"/>
        </w:rPr>
      </w:pPr>
      <w:r>
        <w:rPr>
          <w:rFonts w:ascii="Arial" w:hAnsi="Arial" w:cs="Arial"/>
        </w:rPr>
        <w:t>5. Otorgar, atribuciones transitorias a entes públicos que puedan cumplir funciones de Policía Judicial, bajo la responsabilidad y dependencia funcional de la Fiscalía General de la Nación.</w:t>
      </w:r>
    </w:p>
    <w:p w:rsidR="009A6237" w:rsidRDefault="009A6237" w:rsidP="009A6237">
      <w:pPr>
        <w:pStyle w:val="NormalWeb"/>
        <w:rPr>
          <w:rFonts w:ascii="Arial" w:hAnsi="Arial" w:cs="Arial"/>
        </w:rPr>
      </w:pPr>
      <w:r>
        <w:rPr>
          <w:rFonts w:ascii="Arial" w:hAnsi="Arial" w:cs="Arial"/>
        </w:rPr>
        <w:t>6. Suministrar al Gobierno información sobre las investigaciones que se estén adelantando, cuando sea necesaria para la preservación del orden público.</w:t>
      </w:r>
    </w:p>
    <w:p w:rsidR="009A6237" w:rsidRDefault="009A6237" w:rsidP="009A6237">
      <w:pPr>
        <w:pStyle w:val="NormalWeb"/>
        <w:rPr>
          <w:rFonts w:ascii="Arial" w:hAnsi="Arial" w:cs="Arial"/>
        </w:rPr>
      </w:pPr>
      <w:r>
        <w:rPr>
          <w:rFonts w:ascii="Arial" w:hAnsi="Arial" w:cs="Arial"/>
          <w:b/>
          <w:bCs/>
        </w:rPr>
        <w:t>Artículo 4°.</w:t>
      </w:r>
      <w:r>
        <w:rPr>
          <w:rFonts w:ascii="Arial" w:hAnsi="Arial" w:cs="Arial"/>
        </w:rPr>
        <w:t xml:space="preserve"> </w:t>
      </w:r>
      <w:r>
        <w:rPr>
          <w:rFonts w:ascii="Arial" w:hAnsi="Arial" w:cs="Arial"/>
          <w:i/>
          <w:iCs/>
        </w:rPr>
        <w:t>Transitorio</w:t>
      </w:r>
      <w:r>
        <w:rPr>
          <w:rFonts w:ascii="Arial" w:hAnsi="Arial" w:cs="Arial"/>
        </w:rPr>
        <w:t xml:space="preserve">. </w:t>
      </w:r>
      <w:proofErr w:type="spellStart"/>
      <w:r>
        <w:rPr>
          <w:rFonts w:ascii="Arial" w:hAnsi="Arial" w:cs="Arial"/>
        </w:rPr>
        <w:t>Confórmase</w:t>
      </w:r>
      <w:proofErr w:type="spellEnd"/>
      <w:r>
        <w:rPr>
          <w:rFonts w:ascii="Arial" w:hAnsi="Arial" w:cs="Arial"/>
        </w:rPr>
        <w:t xml:space="preserve"> una comisión integrada por el Ministro de Justicia y del Derecho, el Fiscal General de la Nación, quien la presidirá, el Procurador General de la Nación, el Presidente de la Sala Penal de la Corte Suprema de Justicia, el Defensor del Pueblo, el Presidente del Consejo Superior de la Judicatura, o los delegados que ellos designen, tres Representantes a la Cámara y tres Senadores de las Comisiones Primeras, y tres miembros de la Academia designados de común acuerdo por el Gobierno y el Fiscal General, para que, por conducto de este último, presente a consideración del Congreso de la República a más tardar el 20 de julio de 2003, los proyectos de ley pertinentes para adoptar el nuevo sistema y adelante el seguimiento de la implementación gradual del sistema.</w:t>
      </w:r>
    </w:p>
    <w:p w:rsidR="009A6237" w:rsidRDefault="009A6237" w:rsidP="009A6237">
      <w:pPr>
        <w:pStyle w:val="NormalWeb"/>
        <w:rPr>
          <w:rFonts w:ascii="Arial" w:hAnsi="Arial" w:cs="Arial"/>
        </w:rPr>
      </w:pPr>
      <w:r>
        <w:rPr>
          <w:rFonts w:ascii="Arial" w:hAnsi="Arial" w:cs="Arial"/>
        </w:rPr>
        <w:t xml:space="preserve">El Congreso de la República dispondrá hasta el 20 de junio de 2004 para expedir las leyes correspondientes. Si no lo hiciere dentro de este plazo, se reviste al Presidente de la República de faculta des extraordinarias, por el término de dos meses para que profiera las normas legales necesarias al nuevo sistema. Para este fin podrá expedir, modificar o adicionar los cuerpos normativos correspondientes incluidos en la ley estatutaria de la administración de justicia, la ley estatutaria de habeas corpus, los Código Penal, de </w:t>
      </w:r>
      <w:r>
        <w:rPr>
          <w:rFonts w:ascii="Arial" w:hAnsi="Arial" w:cs="Arial"/>
        </w:rPr>
        <w:lastRenderedPageBreak/>
        <w:t>Procedimiento Penal y Penitenciario y el Estatuto Orgánico de la Fiscalía. </w:t>
      </w:r>
      <w:hyperlink r:id="rId4" w:anchor="0" w:history="1">
        <w:r>
          <w:rPr>
            <w:rStyle w:val="Hipervnculo"/>
            <w:rFonts w:ascii="Arial" w:hAnsi="Arial" w:cs="Arial"/>
          </w:rPr>
          <w:t>Ver el Decreto Nacional 2636 de 2004</w:t>
        </w:r>
      </w:hyperlink>
      <w:r>
        <w:rPr>
          <w:rFonts w:ascii="Arial" w:hAnsi="Arial" w:cs="Arial"/>
        </w:rPr>
        <w:t xml:space="preserve"> , </w:t>
      </w:r>
      <w:hyperlink r:id="rId5" w:anchor="0" w:history="1">
        <w:r>
          <w:rPr>
            <w:rStyle w:val="Hipervnculo"/>
            <w:rFonts w:ascii="Arial" w:hAnsi="Arial" w:cs="Arial"/>
          </w:rPr>
          <w:t>Ver el Decreto Nacional 2637 de 2004</w:t>
        </w:r>
      </w:hyperlink>
      <w:r>
        <w:rPr>
          <w:rFonts w:ascii="Arial" w:hAnsi="Arial" w:cs="Arial"/>
        </w:rPr>
        <w:t xml:space="preserve"> </w:t>
      </w:r>
    </w:p>
    <w:p w:rsidR="009A6237" w:rsidRDefault="009A6237" w:rsidP="009A6237">
      <w:pPr>
        <w:pStyle w:val="NormalWeb"/>
        <w:rPr>
          <w:rFonts w:ascii="Arial" w:hAnsi="Arial" w:cs="Arial"/>
        </w:rPr>
      </w:pPr>
      <w:r>
        <w:rPr>
          <w:rFonts w:ascii="Arial" w:hAnsi="Arial" w:cs="Arial"/>
        </w:rPr>
        <w:t>Con el fin de conseguir la transición hacia el sistema acusatorio previsto en el presente Acto Legislativo, la ley tomará las previsiones para garantizar la presencia de los servidores públicos necesarios para el adecuado funcionamiento del nuevo en particular, el traslado de cargos entre la Fiscalía General de la Nación, la Rama Judicial, la Defensoría del Pueblo, y los organismos que cumplen funciones de policía judicial. El Gobierno Nacional garantizará los recursos para la implementación gradual del sistema acusatorio y para la consolidación de un Sistema Nacional de Defensoría Pública.</w:t>
      </w:r>
    </w:p>
    <w:p w:rsidR="009A6237" w:rsidRDefault="009A6237" w:rsidP="009A6237">
      <w:pPr>
        <w:pStyle w:val="NormalWeb"/>
        <w:rPr>
          <w:rFonts w:ascii="Arial" w:hAnsi="Arial" w:cs="Arial"/>
        </w:rPr>
      </w:pPr>
      <w:r>
        <w:rPr>
          <w:rFonts w:ascii="Arial" w:hAnsi="Arial" w:cs="Arial"/>
          <w:b/>
          <w:bCs/>
        </w:rPr>
        <w:t>Artículo 5°.</w:t>
      </w:r>
      <w:r>
        <w:rPr>
          <w:rFonts w:ascii="Arial" w:hAnsi="Arial" w:cs="Arial"/>
        </w:rPr>
        <w:t xml:space="preserve"> Vigencia. El presente Acto Legislativo rige a partir de su aprobación, pero se aplicará de acuerdo con la gradualidad que determine la ley y únicamente a los delitos cometidos con posterioridad a la vigencia que en ella se establezca. La aplicación del nuevo sistema se iniciará en los distritos judiciales a partir del 1° de enero de 2005 de manera gradual y sucesiva. El nuevo sistema deberá entrar en plena vigencia a más tardar el 31 de diciembre del 2008.</w:t>
      </w:r>
    </w:p>
    <w:p w:rsidR="009A6237" w:rsidRDefault="009A6237" w:rsidP="009A6237">
      <w:pPr>
        <w:pStyle w:val="NormalWeb"/>
        <w:rPr>
          <w:rFonts w:ascii="Arial" w:hAnsi="Arial" w:cs="Arial"/>
        </w:rPr>
      </w:pPr>
      <w:r>
        <w:rPr>
          <w:rFonts w:ascii="Arial" w:hAnsi="Arial" w:cs="Arial"/>
          <w:b/>
          <w:bCs/>
        </w:rPr>
        <w:t>Parágrafo transitorio</w:t>
      </w:r>
      <w:r>
        <w:rPr>
          <w:rFonts w:ascii="Arial" w:hAnsi="Arial" w:cs="Arial"/>
        </w:rPr>
        <w:t>. Para que el nuevo sistema previsto en este Acto Legislativo pueda aplicarse en el respectivo distrito judicial, deberán estar garantizados los recursos suficientes para su adecuada implementación, en especial la de la Defensoría Pública. Para estos efectos, la comisión de seguimiento de la reforma creada por el artículo 4° transitorio, velará por su cumplimiento.</w:t>
      </w:r>
    </w:p>
    <w:p w:rsidR="009A6237" w:rsidRDefault="009A6237" w:rsidP="009A6237">
      <w:pPr>
        <w:pStyle w:val="NormalWeb"/>
        <w:jc w:val="center"/>
        <w:rPr>
          <w:rFonts w:ascii="Arial" w:hAnsi="Arial" w:cs="Arial"/>
          <w:b/>
          <w:bCs/>
        </w:rPr>
      </w:pPr>
      <w:r>
        <w:rPr>
          <w:rFonts w:ascii="Arial" w:hAnsi="Arial" w:cs="Arial"/>
          <w:b/>
          <w:bCs/>
        </w:rPr>
        <w:t>El Presidente del honorable Senado de la República,</w:t>
      </w:r>
    </w:p>
    <w:p w:rsidR="009A6237" w:rsidRDefault="009A6237" w:rsidP="009A6237">
      <w:pPr>
        <w:pStyle w:val="NormalWeb"/>
        <w:jc w:val="center"/>
        <w:rPr>
          <w:rFonts w:ascii="Arial" w:hAnsi="Arial" w:cs="Arial"/>
          <w:b/>
          <w:bCs/>
        </w:rPr>
      </w:pPr>
      <w:r>
        <w:rPr>
          <w:rFonts w:ascii="Arial" w:hAnsi="Arial" w:cs="Arial"/>
          <w:b/>
          <w:bCs/>
        </w:rPr>
        <w:t>Luis Alfredo Ramos Botero.</w:t>
      </w:r>
    </w:p>
    <w:p w:rsidR="009A6237" w:rsidRDefault="009A6237" w:rsidP="009A6237">
      <w:pPr>
        <w:pStyle w:val="NormalWeb"/>
        <w:jc w:val="center"/>
        <w:rPr>
          <w:rFonts w:ascii="Arial" w:hAnsi="Arial" w:cs="Arial"/>
          <w:b/>
          <w:bCs/>
        </w:rPr>
      </w:pPr>
      <w:r>
        <w:rPr>
          <w:rFonts w:ascii="Arial" w:hAnsi="Arial" w:cs="Arial"/>
          <w:b/>
          <w:bCs/>
        </w:rPr>
        <w:t>El Secretario General del honorable Senado de la República,</w:t>
      </w:r>
    </w:p>
    <w:p w:rsidR="009A6237" w:rsidRDefault="009A6237" w:rsidP="009A6237">
      <w:pPr>
        <w:pStyle w:val="NormalWeb"/>
        <w:jc w:val="center"/>
        <w:rPr>
          <w:rFonts w:ascii="Arial" w:hAnsi="Arial" w:cs="Arial"/>
          <w:b/>
          <w:bCs/>
        </w:rPr>
      </w:pPr>
      <w:r>
        <w:rPr>
          <w:rFonts w:ascii="Arial" w:hAnsi="Arial" w:cs="Arial"/>
          <w:b/>
          <w:bCs/>
        </w:rPr>
        <w:t xml:space="preserve">Emilio Ramón Otero </w:t>
      </w:r>
      <w:proofErr w:type="spellStart"/>
      <w:r>
        <w:rPr>
          <w:rFonts w:ascii="Arial" w:hAnsi="Arial" w:cs="Arial"/>
          <w:b/>
          <w:bCs/>
        </w:rPr>
        <w:t>Dajud</w:t>
      </w:r>
      <w:proofErr w:type="spellEnd"/>
      <w:r>
        <w:rPr>
          <w:rFonts w:ascii="Arial" w:hAnsi="Arial" w:cs="Arial"/>
          <w:b/>
          <w:bCs/>
        </w:rPr>
        <w:t>.</w:t>
      </w:r>
    </w:p>
    <w:p w:rsidR="009A6237" w:rsidRDefault="009A6237" w:rsidP="009A6237">
      <w:pPr>
        <w:pStyle w:val="NormalWeb"/>
        <w:jc w:val="center"/>
        <w:rPr>
          <w:rFonts w:ascii="Arial" w:hAnsi="Arial" w:cs="Arial"/>
          <w:b/>
          <w:bCs/>
        </w:rPr>
      </w:pPr>
      <w:r>
        <w:rPr>
          <w:rFonts w:ascii="Arial" w:hAnsi="Arial" w:cs="Arial"/>
          <w:b/>
          <w:bCs/>
        </w:rPr>
        <w:t>El Presidente de la honorable Cámara de Representantes,</w:t>
      </w:r>
    </w:p>
    <w:p w:rsidR="009A6237" w:rsidRDefault="009A6237" w:rsidP="009A6237">
      <w:pPr>
        <w:pStyle w:val="NormalWeb"/>
        <w:jc w:val="center"/>
        <w:rPr>
          <w:rFonts w:ascii="Arial" w:hAnsi="Arial" w:cs="Arial"/>
          <w:b/>
          <w:bCs/>
        </w:rPr>
      </w:pPr>
      <w:r>
        <w:rPr>
          <w:rFonts w:ascii="Arial" w:hAnsi="Arial" w:cs="Arial"/>
          <w:b/>
          <w:bCs/>
        </w:rPr>
        <w:t>William Vélez Mesa.</w:t>
      </w:r>
    </w:p>
    <w:p w:rsidR="009A6237" w:rsidRDefault="009A6237" w:rsidP="009A6237">
      <w:pPr>
        <w:pStyle w:val="NormalWeb"/>
        <w:jc w:val="center"/>
        <w:rPr>
          <w:rFonts w:ascii="Arial" w:hAnsi="Arial" w:cs="Arial"/>
          <w:b/>
          <w:bCs/>
        </w:rPr>
      </w:pPr>
      <w:r>
        <w:rPr>
          <w:rFonts w:ascii="Arial" w:hAnsi="Arial" w:cs="Arial"/>
          <w:b/>
          <w:bCs/>
        </w:rPr>
        <w:t>El Secretario General de la honorable Cámara de Representantes,</w:t>
      </w:r>
    </w:p>
    <w:p w:rsidR="009A6237" w:rsidRDefault="009A6237" w:rsidP="009A6237">
      <w:pPr>
        <w:pStyle w:val="NormalWeb"/>
        <w:jc w:val="center"/>
        <w:rPr>
          <w:rFonts w:ascii="Arial" w:hAnsi="Arial" w:cs="Arial"/>
          <w:b/>
          <w:bCs/>
        </w:rPr>
      </w:pPr>
      <w:r>
        <w:rPr>
          <w:rFonts w:ascii="Arial" w:hAnsi="Arial" w:cs="Arial"/>
          <w:b/>
          <w:bCs/>
        </w:rPr>
        <w:t>Angelino Lizcano Rivera.</w:t>
      </w:r>
    </w:p>
    <w:p w:rsidR="009A6237" w:rsidRDefault="009A6237" w:rsidP="009A6237">
      <w:pPr>
        <w:pStyle w:val="NormalWeb"/>
        <w:jc w:val="center"/>
        <w:rPr>
          <w:rFonts w:ascii="Arial" w:hAnsi="Arial" w:cs="Arial"/>
          <w:b/>
          <w:bCs/>
        </w:rPr>
      </w:pPr>
      <w:r>
        <w:rPr>
          <w:rFonts w:ascii="Arial" w:hAnsi="Arial" w:cs="Arial"/>
          <w:b/>
          <w:bCs/>
        </w:rPr>
        <w:t>REPUBLICA DE COLOMBIA – GOBIERNO NACIONAL</w:t>
      </w:r>
    </w:p>
    <w:p w:rsidR="009A6237" w:rsidRDefault="009A6237" w:rsidP="009A6237">
      <w:pPr>
        <w:pStyle w:val="NormalWeb"/>
        <w:jc w:val="center"/>
        <w:rPr>
          <w:rFonts w:ascii="Arial" w:hAnsi="Arial" w:cs="Arial"/>
          <w:b/>
          <w:bCs/>
        </w:rPr>
      </w:pPr>
      <w:r>
        <w:rPr>
          <w:rFonts w:ascii="Arial" w:hAnsi="Arial" w:cs="Arial"/>
          <w:b/>
          <w:bCs/>
        </w:rPr>
        <w:t>Publíquese y ejecútese.</w:t>
      </w:r>
    </w:p>
    <w:p w:rsidR="009A6237" w:rsidRDefault="009A6237" w:rsidP="009A6237">
      <w:pPr>
        <w:pStyle w:val="NormalWeb"/>
        <w:jc w:val="center"/>
        <w:rPr>
          <w:rFonts w:ascii="Arial" w:hAnsi="Arial" w:cs="Arial"/>
          <w:b/>
          <w:bCs/>
        </w:rPr>
      </w:pPr>
      <w:r>
        <w:rPr>
          <w:rFonts w:ascii="Arial" w:hAnsi="Arial" w:cs="Arial"/>
          <w:b/>
          <w:bCs/>
        </w:rPr>
        <w:t>Dado en Bogotá, D. C., a 19 de diciembre de 2002.</w:t>
      </w:r>
    </w:p>
    <w:p w:rsidR="009A6237" w:rsidRDefault="009A6237" w:rsidP="009A6237">
      <w:pPr>
        <w:pStyle w:val="NormalWeb"/>
        <w:jc w:val="center"/>
        <w:rPr>
          <w:rFonts w:ascii="Arial" w:hAnsi="Arial" w:cs="Arial"/>
          <w:b/>
          <w:bCs/>
        </w:rPr>
      </w:pPr>
      <w:r>
        <w:rPr>
          <w:rFonts w:ascii="Arial" w:hAnsi="Arial" w:cs="Arial"/>
          <w:b/>
          <w:bCs/>
        </w:rPr>
        <w:t>ÁLVARO URIBE VÉLEZ</w:t>
      </w:r>
    </w:p>
    <w:p w:rsidR="009A6237" w:rsidRDefault="009A6237" w:rsidP="009A6237">
      <w:pPr>
        <w:pStyle w:val="NormalWeb"/>
        <w:jc w:val="center"/>
        <w:rPr>
          <w:rFonts w:ascii="Arial" w:hAnsi="Arial" w:cs="Arial"/>
          <w:b/>
          <w:bCs/>
        </w:rPr>
      </w:pPr>
      <w:r>
        <w:rPr>
          <w:rFonts w:ascii="Arial" w:hAnsi="Arial" w:cs="Arial"/>
          <w:b/>
          <w:bCs/>
        </w:rPr>
        <w:lastRenderedPageBreak/>
        <w:t>El Ministro de Justicia y del Derecho, encargado de las funciones del despacho del Ministro del Interior,</w:t>
      </w:r>
    </w:p>
    <w:p w:rsidR="009A6237" w:rsidRDefault="009A6237" w:rsidP="009A6237">
      <w:pPr>
        <w:pStyle w:val="NormalWeb"/>
        <w:jc w:val="center"/>
        <w:rPr>
          <w:rFonts w:ascii="Arial" w:hAnsi="Arial" w:cs="Arial"/>
          <w:b/>
          <w:bCs/>
        </w:rPr>
      </w:pPr>
      <w:r>
        <w:rPr>
          <w:rFonts w:ascii="Arial" w:hAnsi="Arial" w:cs="Arial"/>
          <w:b/>
          <w:bCs/>
        </w:rPr>
        <w:t>Fernando Londoño Hoyos.</w:t>
      </w:r>
    </w:p>
    <w:p w:rsidR="009A6237" w:rsidRDefault="009A6237" w:rsidP="009A6237">
      <w:pPr>
        <w:pStyle w:val="NormalWeb"/>
        <w:rPr>
          <w:rFonts w:ascii="Arial" w:hAnsi="Arial" w:cs="Arial"/>
          <w:b/>
          <w:bCs/>
        </w:rPr>
      </w:pPr>
      <w:r>
        <w:rPr>
          <w:rFonts w:ascii="Arial" w:hAnsi="Arial" w:cs="Arial"/>
          <w:b/>
          <w:bCs/>
        </w:rPr>
        <w:t>NOTA: Publicado en el Diario Oficial No 45.040 de Diciembre 19 de 2002</w:t>
      </w:r>
    </w:p>
    <w:p w:rsidR="00033CD0" w:rsidRDefault="009A6237">
      <w:r w:rsidRPr="009A6237">
        <w:t>http://www.alcaldiabogota.gov.co/sisjur/normas/Norma1.jsp?i=6679#1</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spelling="clean" w:grammar="clean"/>
  <w:defaultTabStop w:val="708"/>
  <w:hyphenationZone w:val="425"/>
  <w:characterSpacingControl w:val="doNotCompress"/>
  <w:compat/>
  <w:rsids>
    <w:rsidRoot w:val="00FD2CB9"/>
    <w:rsid w:val="00033CD0"/>
    <w:rsid w:val="00532CD0"/>
    <w:rsid w:val="009A6237"/>
    <w:rsid w:val="00FD2CB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A6237"/>
    <w:rPr>
      <w:color w:val="0000FF"/>
      <w:u w:val="single"/>
    </w:rPr>
  </w:style>
  <w:style w:type="paragraph" w:styleId="NormalWeb">
    <w:name w:val="Normal (Web)"/>
    <w:basedOn w:val="Normal"/>
    <w:uiPriority w:val="99"/>
    <w:semiHidden/>
    <w:unhideWhenUsed/>
    <w:rsid w:val="009A6237"/>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1482426300">
      <w:bodyDiv w:val="1"/>
      <w:marLeft w:val="0"/>
      <w:marRight w:val="0"/>
      <w:marTop w:val="0"/>
      <w:marBottom w:val="0"/>
      <w:divBdr>
        <w:top w:val="none" w:sz="0" w:space="0" w:color="auto"/>
        <w:left w:val="none" w:sz="0" w:space="0" w:color="auto"/>
        <w:bottom w:val="none" w:sz="0" w:space="0" w:color="auto"/>
        <w:right w:val="none" w:sz="0" w:space="0" w:color="auto"/>
      </w:divBdr>
      <w:divsChild>
        <w:div w:id="1682200251">
          <w:marLeft w:val="0"/>
          <w:marRight w:val="0"/>
          <w:marTop w:val="0"/>
          <w:marBottom w:val="0"/>
          <w:divBdr>
            <w:top w:val="none" w:sz="0" w:space="0" w:color="auto"/>
            <w:left w:val="none" w:sz="0" w:space="0" w:color="auto"/>
            <w:bottom w:val="none" w:sz="0" w:space="0" w:color="auto"/>
            <w:right w:val="none" w:sz="0" w:space="0" w:color="auto"/>
          </w:divBdr>
          <w:divsChild>
            <w:div w:id="14455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caldiabogota.gov.co/sisjur/normas/Norma1.jsp?i=14621" TargetMode="External"/><Relationship Id="rId4" Type="http://schemas.openxmlformats.org/officeDocument/2006/relationships/hyperlink" Target="http://www.alcaldiabogota.gov.co/sisjur/normas/Norma1.jsp?i=146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1565</Words>
  <Characters>8611</Characters>
  <Application>Microsoft Office Word</Application>
  <DocSecurity>0</DocSecurity>
  <Lines>71</Lines>
  <Paragraphs>20</Paragraphs>
  <ScaleCrop>false</ScaleCrop>
  <Company/>
  <LinksUpToDate>false</LinksUpToDate>
  <CharactersWithSpaces>10156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2010-07-13T02:37:00Z</dcterms:created>
  <dcterms:modified xsi:type="dcterms:W3CDTF">2010-07-13T02:38:00Z</dcterms:modified>
</cp:coreProperties>
</file>